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213" w:rsidRPr="00552213" w:rsidRDefault="00552213" w:rsidP="00552213">
      <w:pPr>
        <w:jc w:val="center"/>
        <w:rPr>
          <w:rFonts w:ascii="Times New Roman" w:hAnsi="Times New Roman" w:cs="Times New Roman"/>
          <w:b/>
        </w:rPr>
      </w:pPr>
      <w:r w:rsidRPr="00552213">
        <w:rPr>
          <w:rFonts w:ascii="Times New Roman" w:eastAsia="PMingLiU" w:hAnsi="Times New Roman" w:cs="Times New Roman"/>
          <w:b/>
        </w:rPr>
        <w:t xml:space="preserve">МЕХАНИЗМЫ ПЕРЕЛИВА ФИНАНСОВЫХ РЕСУРСОВ </w:t>
      </w:r>
      <w:r w:rsidRPr="00552213">
        <w:rPr>
          <w:rFonts w:ascii="Times New Roman" w:hAnsi="Times New Roman" w:cs="Times New Roman"/>
          <w:b/>
        </w:rPr>
        <w:t xml:space="preserve">СЫРЬЕВЫХ КОМПАНИЙ В НЕФТЕГАЗОХИМИЮ В </w:t>
      </w:r>
      <w:proofErr w:type="gramStart"/>
      <w:r w:rsidRPr="00552213">
        <w:rPr>
          <w:rFonts w:ascii="Times New Roman" w:hAnsi="Times New Roman" w:cs="Times New Roman"/>
          <w:b/>
        </w:rPr>
        <w:t>РЕСУРСНОМ</w:t>
      </w:r>
      <w:proofErr w:type="gramEnd"/>
      <w:r w:rsidRPr="00552213">
        <w:rPr>
          <w:rFonts w:ascii="Times New Roman" w:hAnsi="Times New Roman" w:cs="Times New Roman"/>
          <w:b/>
        </w:rPr>
        <w:t xml:space="preserve"> МЕГАПРОЕКТЕ</w:t>
      </w:r>
    </w:p>
    <w:p w:rsidR="000210ED" w:rsidRPr="000210ED" w:rsidRDefault="000210ED" w:rsidP="000210ED">
      <w:pPr>
        <w:pStyle w:val="Normal1"/>
        <w:ind w:left="57" w:right="57"/>
        <w:jc w:val="center"/>
        <w:rPr>
          <w:lang w:val="ru-RU"/>
        </w:rPr>
      </w:pPr>
      <w:proofErr w:type="spellStart"/>
      <w:r w:rsidRPr="000210ED">
        <w:rPr>
          <w:lang w:val="ru-RU"/>
        </w:rPr>
        <w:t>Пляскина</w:t>
      </w:r>
      <w:proofErr w:type="spellEnd"/>
      <w:r w:rsidRPr="000210ED">
        <w:rPr>
          <w:lang w:val="ru-RU"/>
        </w:rPr>
        <w:t xml:space="preserve"> Нина Ильинична,</w:t>
      </w:r>
      <w:r w:rsidR="006801A2">
        <w:rPr>
          <w:lang w:val="ru-RU"/>
        </w:rPr>
        <w:t xml:space="preserve"> </w:t>
      </w:r>
      <w:r w:rsidRPr="000210ED">
        <w:rPr>
          <w:lang w:val="ru-RU"/>
        </w:rPr>
        <w:t>д.э.н., ведущий научный сотрудник,</w:t>
      </w:r>
    </w:p>
    <w:p w:rsidR="000210ED" w:rsidRPr="000210ED" w:rsidRDefault="000210ED" w:rsidP="000210ED">
      <w:pPr>
        <w:pStyle w:val="Normal1"/>
        <w:ind w:left="57" w:right="57"/>
        <w:jc w:val="center"/>
        <w:rPr>
          <w:b/>
          <w:lang w:val="ru-RU"/>
        </w:rPr>
      </w:pPr>
      <w:r w:rsidRPr="000210ED">
        <w:rPr>
          <w:b/>
          <w:lang w:val="ru-RU"/>
        </w:rPr>
        <w:t>Институт экономики и организации промышленного производства СО РАН</w:t>
      </w:r>
      <w:r w:rsidRPr="000210ED">
        <w:rPr>
          <w:b/>
          <w:lang w:val="ru-RU"/>
        </w:rPr>
        <w:t xml:space="preserve"> (ИЭОПП)</w:t>
      </w:r>
      <w:r w:rsidRPr="000210ED">
        <w:rPr>
          <w:b/>
          <w:lang w:val="ru-RU"/>
        </w:rPr>
        <w:t>,</w:t>
      </w:r>
    </w:p>
    <w:p w:rsidR="000210ED" w:rsidRPr="006801A2" w:rsidRDefault="00552213" w:rsidP="000210ED">
      <w:pPr>
        <w:pStyle w:val="Normal1"/>
        <w:ind w:left="57" w:right="57"/>
        <w:jc w:val="center"/>
        <w:rPr>
          <w:lang w:val="ru-RU"/>
        </w:rPr>
      </w:pPr>
      <w:r>
        <w:rPr>
          <w:lang w:val="ru-RU"/>
        </w:rPr>
        <w:t>п</w:t>
      </w:r>
      <w:r w:rsidR="000210ED" w:rsidRPr="006801A2">
        <w:rPr>
          <w:lang w:val="ru-RU"/>
        </w:rPr>
        <w:t>рофессор,</w:t>
      </w:r>
    </w:p>
    <w:p w:rsidR="000210ED" w:rsidRPr="000210ED" w:rsidRDefault="000210ED" w:rsidP="000210ED">
      <w:pPr>
        <w:pStyle w:val="Normal1"/>
        <w:ind w:left="57" w:right="57"/>
        <w:jc w:val="center"/>
        <w:rPr>
          <w:b/>
          <w:lang w:val="ru-RU"/>
        </w:rPr>
      </w:pPr>
      <w:r w:rsidRPr="000210ED">
        <w:rPr>
          <w:b/>
          <w:lang w:val="ru-RU"/>
        </w:rPr>
        <w:t>Новосибирский национальный исследовательский университет (НГУ),</w:t>
      </w:r>
      <w:r w:rsidRPr="000210ED">
        <w:rPr>
          <w:b/>
          <w:lang w:val="ru-RU"/>
        </w:rPr>
        <w:t xml:space="preserve"> Н</w:t>
      </w:r>
      <w:r w:rsidRPr="000210ED">
        <w:rPr>
          <w:b/>
          <w:lang w:val="ru-RU"/>
        </w:rPr>
        <w:t>овосибирск, Россия,</w:t>
      </w:r>
    </w:p>
    <w:p w:rsidR="000210ED" w:rsidRPr="000210ED" w:rsidRDefault="000210ED" w:rsidP="000210ED">
      <w:pPr>
        <w:spacing w:after="0" w:line="240" w:lineRule="auto"/>
        <w:jc w:val="center"/>
        <w:rPr>
          <w:rFonts w:ascii="Times New Roman" w:hAnsi="Times New Roman" w:cs="Times New Roman"/>
          <w:b/>
          <w:sz w:val="20"/>
          <w:szCs w:val="20"/>
        </w:rPr>
      </w:pPr>
      <w:hyperlink r:id="rId9" w:history="1">
        <w:r w:rsidRPr="000210ED">
          <w:rPr>
            <w:rStyle w:val="a3"/>
            <w:rFonts w:ascii="Times New Roman" w:hAnsi="Times New Roman" w:cs="Times New Roman"/>
            <w:b/>
            <w:color w:val="auto"/>
            <w:sz w:val="20"/>
            <w:szCs w:val="20"/>
            <w:u w:val="none"/>
            <w:lang w:val="en-US"/>
          </w:rPr>
          <w:t>pliaskina</w:t>
        </w:r>
        <w:r w:rsidRPr="000210ED">
          <w:rPr>
            <w:rStyle w:val="a3"/>
            <w:rFonts w:ascii="Times New Roman" w:hAnsi="Times New Roman" w:cs="Times New Roman"/>
            <w:b/>
            <w:color w:val="auto"/>
            <w:sz w:val="20"/>
            <w:szCs w:val="20"/>
            <w:u w:val="none"/>
          </w:rPr>
          <w:t>@</w:t>
        </w:r>
        <w:r w:rsidRPr="000210ED">
          <w:rPr>
            <w:rStyle w:val="a3"/>
            <w:rFonts w:ascii="Times New Roman" w:hAnsi="Times New Roman" w:cs="Times New Roman"/>
            <w:b/>
            <w:color w:val="auto"/>
            <w:sz w:val="20"/>
            <w:szCs w:val="20"/>
            <w:u w:val="none"/>
            <w:lang w:val="en-US"/>
          </w:rPr>
          <w:t>hotmail</w:t>
        </w:r>
        <w:r w:rsidRPr="000210ED">
          <w:rPr>
            <w:rStyle w:val="a3"/>
            <w:rFonts w:ascii="Times New Roman" w:hAnsi="Times New Roman" w:cs="Times New Roman"/>
            <w:b/>
            <w:color w:val="auto"/>
            <w:sz w:val="20"/>
            <w:szCs w:val="20"/>
            <w:u w:val="none"/>
          </w:rPr>
          <w:t>.</w:t>
        </w:r>
        <w:r w:rsidRPr="000210ED">
          <w:rPr>
            <w:rStyle w:val="a3"/>
            <w:rFonts w:ascii="Times New Roman" w:hAnsi="Times New Roman" w:cs="Times New Roman"/>
            <w:b/>
            <w:color w:val="auto"/>
            <w:sz w:val="20"/>
            <w:szCs w:val="20"/>
            <w:u w:val="none"/>
            <w:lang w:val="en-US"/>
          </w:rPr>
          <w:t>com</w:t>
        </w:r>
      </w:hyperlink>
    </w:p>
    <w:p w:rsidR="000210ED" w:rsidRPr="000210ED" w:rsidRDefault="000210ED" w:rsidP="000210ED">
      <w:pPr>
        <w:pStyle w:val="Normal1"/>
        <w:jc w:val="center"/>
        <w:rPr>
          <w:lang w:val="ru-RU"/>
        </w:rPr>
      </w:pPr>
      <w:r w:rsidRPr="000210ED">
        <w:rPr>
          <w:lang w:val="ru-RU"/>
        </w:rPr>
        <w:t>Харитонова Виктория Никитична,</w:t>
      </w:r>
      <w:r w:rsidR="006801A2">
        <w:rPr>
          <w:lang w:val="ru-RU"/>
        </w:rPr>
        <w:t xml:space="preserve"> </w:t>
      </w:r>
      <w:r w:rsidRPr="000210ED">
        <w:rPr>
          <w:lang w:val="ru-RU"/>
        </w:rPr>
        <w:t>к.э.н., ведущий научный сотрудник,</w:t>
      </w:r>
    </w:p>
    <w:p w:rsidR="000210ED" w:rsidRPr="000210ED" w:rsidRDefault="000210ED" w:rsidP="000210ED">
      <w:pPr>
        <w:pStyle w:val="Normal1"/>
        <w:jc w:val="center"/>
        <w:rPr>
          <w:b/>
          <w:lang w:val="ru-RU"/>
        </w:rPr>
      </w:pPr>
      <w:r w:rsidRPr="000210ED">
        <w:rPr>
          <w:b/>
          <w:lang w:val="ru-RU"/>
        </w:rPr>
        <w:t>Институт экономики и организации промышленного производства СО РАН</w:t>
      </w:r>
      <w:r w:rsidRPr="000210ED">
        <w:rPr>
          <w:b/>
          <w:lang w:val="ru-RU"/>
        </w:rPr>
        <w:t xml:space="preserve"> (ИЭОПП)</w:t>
      </w:r>
      <w:r w:rsidRPr="000210ED">
        <w:rPr>
          <w:b/>
          <w:lang w:val="ru-RU"/>
        </w:rPr>
        <w:t>,</w:t>
      </w:r>
    </w:p>
    <w:p w:rsidR="000210ED" w:rsidRPr="006801A2" w:rsidRDefault="000210ED" w:rsidP="000210ED">
      <w:pPr>
        <w:pStyle w:val="Normal1"/>
        <w:ind w:left="57" w:right="57"/>
        <w:jc w:val="center"/>
        <w:rPr>
          <w:lang w:val="ru-RU"/>
        </w:rPr>
      </w:pPr>
      <w:r w:rsidRPr="006801A2">
        <w:rPr>
          <w:lang w:val="ru-RU"/>
        </w:rPr>
        <w:t xml:space="preserve">доцент </w:t>
      </w:r>
    </w:p>
    <w:p w:rsidR="000210ED" w:rsidRPr="000210ED" w:rsidRDefault="000210ED" w:rsidP="000210ED">
      <w:pPr>
        <w:pStyle w:val="Normal1"/>
        <w:ind w:left="57" w:right="57"/>
        <w:jc w:val="center"/>
        <w:rPr>
          <w:b/>
          <w:lang w:val="ru-RU"/>
        </w:rPr>
      </w:pPr>
      <w:r w:rsidRPr="000210ED">
        <w:rPr>
          <w:b/>
          <w:lang w:val="ru-RU"/>
        </w:rPr>
        <w:t>Новосибирский национальный исследовательский университет (НГУ), Н</w:t>
      </w:r>
      <w:r>
        <w:rPr>
          <w:b/>
          <w:lang w:val="ru-RU"/>
        </w:rPr>
        <w:t xml:space="preserve">овосибирск, Россия </w:t>
      </w:r>
      <w:r w:rsidRPr="000210ED">
        <w:rPr>
          <w:b/>
          <w:lang w:val="ru-RU"/>
        </w:rPr>
        <w:t>(</w:t>
      </w:r>
      <w:r w:rsidRPr="000210ED">
        <w:rPr>
          <w:b/>
          <w:lang w:val="ru-RU"/>
        </w:rPr>
        <w:t>НГУ</w:t>
      </w:r>
      <w:r w:rsidRPr="000210ED">
        <w:rPr>
          <w:b/>
          <w:lang w:val="ru-RU"/>
        </w:rPr>
        <w:t>)</w:t>
      </w:r>
      <w:r w:rsidRPr="000210ED">
        <w:rPr>
          <w:b/>
          <w:lang w:val="ru-RU"/>
        </w:rPr>
        <w:t>,</w:t>
      </w:r>
    </w:p>
    <w:p w:rsidR="000210ED" w:rsidRPr="000210ED" w:rsidRDefault="000210ED" w:rsidP="000210ED">
      <w:pPr>
        <w:spacing w:after="0" w:line="240" w:lineRule="auto"/>
        <w:jc w:val="center"/>
        <w:rPr>
          <w:rFonts w:ascii="Times New Roman" w:hAnsi="Times New Roman" w:cs="Times New Roman"/>
          <w:b/>
          <w:sz w:val="20"/>
          <w:szCs w:val="20"/>
        </w:rPr>
      </w:pPr>
      <w:r w:rsidRPr="000210ED">
        <w:rPr>
          <w:rFonts w:ascii="Times New Roman" w:hAnsi="Times New Roman" w:cs="Times New Roman"/>
          <w:b/>
          <w:sz w:val="20"/>
          <w:szCs w:val="20"/>
        </w:rPr>
        <w:t>Новосибирск, Россия,</w:t>
      </w:r>
    </w:p>
    <w:p w:rsidR="000210ED" w:rsidRPr="000210ED" w:rsidRDefault="000210ED" w:rsidP="000210ED">
      <w:pPr>
        <w:spacing w:after="0" w:line="240" w:lineRule="auto"/>
        <w:jc w:val="center"/>
        <w:rPr>
          <w:rFonts w:ascii="Times New Roman" w:hAnsi="Times New Roman" w:cs="Times New Roman"/>
          <w:b/>
          <w:sz w:val="20"/>
          <w:szCs w:val="20"/>
        </w:rPr>
      </w:pPr>
      <w:hyperlink r:id="rId10" w:history="1">
        <w:r w:rsidRPr="000210ED">
          <w:rPr>
            <w:rStyle w:val="a3"/>
            <w:rFonts w:ascii="Times New Roman" w:hAnsi="Times New Roman" w:cs="Times New Roman"/>
            <w:b/>
            <w:color w:val="auto"/>
            <w:sz w:val="20"/>
            <w:szCs w:val="20"/>
            <w:u w:val="none"/>
            <w:lang w:val="en-US"/>
          </w:rPr>
          <w:t>kharit</w:t>
        </w:r>
        <w:r w:rsidRPr="000210ED">
          <w:rPr>
            <w:rStyle w:val="a3"/>
            <w:rFonts w:ascii="Times New Roman" w:hAnsi="Times New Roman" w:cs="Times New Roman"/>
            <w:b/>
            <w:color w:val="auto"/>
            <w:sz w:val="20"/>
            <w:szCs w:val="20"/>
            <w:u w:val="none"/>
          </w:rPr>
          <w:t>@</w:t>
        </w:r>
        <w:r w:rsidRPr="000210ED">
          <w:rPr>
            <w:rStyle w:val="a3"/>
            <w:rFonts w:ascii="Times New Roman" w:hAnsi="Times New Roman" w:cs="Times New Roman"/>
            <w:b/>
            <w:color w:val="auto"/>
            <w:sz w:val="20"/>
            <w:szCs w:val="20"/>
            <w:u w:val="none"/>
            <w:lang w:val="en-US"/>
          </w:rPr>
          <w:t>ieie</w:t>
        </w:r>
        <w:r w:rsidRPr="000210ED">
          <w:rPr>
            <w:rStyle w:val="a3"/>
            <w:rFonts w:ascii="Times New Roman" w:hAnsi="Times New Roman" w:cs="Times New Roman"/>
            <w:b/>
            <w:color w:val="auto"/>
            <w:sz w:val="20"/>
            <w:szCs w:val="20"/>
            <w:u w:val="none"/>
          </w:rPr>
          <w:t>.</w:t>
        </w:r>
        <w:r w:rsidRPr="000210ED">
          <w:rPr>
            <w:rStyle w:val="a3"/>
            <w:rFonts w:ascii="Times New Roman" w:hAnsi="Times New Roman" w:cs="Times New Roman"/>
            <w:b/>
            <w:color w:val="auto"/>
            <w:sz w:val="20"/>
            <w:szCs w:val="20"/>
            <w:u w:val="none"/>
            <w:lang w:val="en-US"/>
          </w:rPr>
          <w:t>nsc</w:t>
        </w:r>
        <w:r w:rsidRPr="000210ED">
          <w:rPr>
            <w:rStyle w:val="a3"/>
            <w:rFonts w:ascii="Times New Roman" w:hAnsi="Times New Roman" w:cs="Times New Roman"/>
            <w:b/>
            <w:color w:val="auto"/>
            <w:sz w:val="20"/>
            <w:szCs w:val="20"/>
            <w:u w:val="none"/>
          </w:rPr>
          <w:t>.</w:t>
        </w:r>
        <w:proofErr w:type="spellStart"/>
        <w:r w:rsidRPr="000210ED">
          <w:rPr>
            <w:rStyle w:val="a3"/>
            <w:rFonts w:ascii="Times New Roman" w:hAnsi="Times New Roman" w:cs="Times New Roman"/>
            <w:b/>
            <w:color w:val="auto"/>
            <w:sz w:val="20"/>
            <w:szCs w:val="20"/>
            <w:u w:val="none"/>
            <w:lang w:val="en-US"/>
          </w:rPr>
          <w:t>ru</w:t>
        </w:r>
        <w:proofErr w:type="spellEnd"/>
      </w:hyperlink>
    </w:p>
    <w:p w:rsidR="000210ED" w:rsidRPr="000210ED" w:rsidRDefault="000210ED" w:rsidP="000210ED">
      <w:pPr>
        <w:pStyle w:val="Normal1"/>
        <w:jc w:val="center"/>
        <w:rPr>
          <w:lang w:val="ru-RU"/>
        </w:rPr>
      </w:pPr>
      <w:proofErr w:type="spellStart"/>
      <w:r w:rsidRPr="000210ED">
        <w:rPr>
          <w:lang w:val="ru-RU"/>
        </w:rPr>
        <w:t>Вижина</w:t>
      </w:r>
      <w:proofErr w:type="spellEnd"/>
      <w:r w:rsidRPr="000210ED">
        <w:rPr>
          <w:lang w:val="ru-RU"/>
        </w:rPr>
        <w:t xml:space="preserve"> Ирина Александровна,</w:t>
      </w:r>
      <w:r w:rsidR="006801A2">
        <w:rPr>
          <w:lang w:val="ru-RU"/>
        </w:rPr>
        <w:t xml:space="preserve"> </w:t>
      </w:r>
      <w:r w:rsidRPr="000210ED">
        <w:rPr>
          <w:lang w:val="ru-RU"/>
        </w:rPr>
        <w:t>старший научный сотрудник,</w:t>
      </w:r>
    </w:p>
    <w:p w:rsidR="000210ED" w:rsidRPr="000210ED" w:rsidRDefault="000210ED" w:rsidP="00F927C0">
      <w:pPr>
        <w:pStyle w:val="Normal1"/>
        <w:ind w:firstLine="709"/>
        <w:jc w:val="center"/>
        <w:rPr>
          <w:lang w:val="ru-RU"/>
        </w:rPr>
      </w:pPr>
      <w:r w:rsidRPr="006801A2">
        <w:rPr>
          <w:b/>
          <w:lang w:val="ru-RU"/>
        </w:rPr>
        <w:t>Институт экономики и организации промышленного производства СО РАН</w:t>
      </w:r>
      <w:r w:rsidRPr="006801A2">
        <w:rPr>
          <w:b/>
          <w:lang w:val="ru-RU"/>
        </w:rPr>
        <w:t xml:space="preserve"> (ИЭОПП)</w:t>
      </w:r>
      <w:r w:rsidR="006801A2" w:rsidRPr="006801A2">
        <w:rPr>
          <w:b/>
          <w:lang w:val="ru-RU"/>
        </w:rPr>
        <w:t xml:space="preserve"> </w:t>
      </w:r>
      <w:r w:rsidRPr="006801A2">
        <w:rPr>
          <w:b/>
          <w:lang w:val="ru-RU"/>
        </w:rPr>
        <w:t xml:space="preserve">г. Новосибирск, </w:t>
      </w:r>
      <w:r w:rsidR="006801A2" w:rsidRPr="006801A2">
        <w:rPr>
          <w:b/>
          <w:lang w:val="ru-RU"/>
        </w:rPr>
        <w:t>Р</w:t>
      </w:r>
      <w:r w:rsidRPr="006801A2">
        <w:rPr>
          <w:b/>
          <w:lang w:val="ru-RU"/>
        </w:rPr>
        <w:t>оссия</w:t>
      </w:r>
      <w:r w:rsidRPr="000210ED">
        <w:rPr>
          <w:lang w:val="ru-RU"/>
        </w:rPr>
        <w:t>,</w:t>
      </w:r>
    </w:p>
    <w:p w:rsidR="000210ED" w:rsidRDefault="000210ED" w:rsidP="00F927C0">
      <w:pPr>
        <w:pStyle w:val="Normal1"/>
        <w:ind w:firstLine="709"/>
        <w:jc w:val="center"/>
        <w:rPr>
          <w:b/>
          <w:lang w:val="ru-RU"/>
        </w:rPr>
      </w:pPr>
      <w:hyperlink r:id="rId11" w:history="1">
        <w:r w:rsidRPr="006801A2">
          <w:rPr>
            <w:rStyle w:val="a3"/>
            <w:b/>
            <w:color w:val="auto"/>
            <w:u w:val="none"/>
          </w:rPr>
          <w:t>vira</w:t>
        </w:r>
        <w:r w:rsidRPr="006801A2">
          <w:rPr>
            <w:rStyle w:val="a3"/>
            <w:b/>
            <w:color w:val="auto"/>
            <w:u w:val="none"/>
            <w:lang w:val="ru-RU"/>
          </w:rPr>
          <w:t>@</w:t>
        </w:r>
        <w:r w:rsidRPr="006801A2">
          <w:rPr>
            <w:rStyle w:val="a3"/>
            <w:b/>
            <w:color w:val="auto"/>
            <w:u w:val="none"/>
          </w:rPr>
          <w:t>ieie</w:t>
        </w:r>
        <w:r w:rsidRPr="006801A2">
          <w:rPr>
            <w:rStyle w:val="a3"/>
            <w:b/>
            <w:color w:val="auto"/>
            <w:u w:val="none"/>
            <w:lang w:val="ru-RU"/>
          </w:rPr>
          <w:t>.</w:t>
        </w:r>
        <w:r w:rsidRPr="006801A2">
          <w:rPr>
            <w:rStyle w:val="a3"/>
            <w:b/>
            <w:color w:val="auto"/>
            <w:u w:val="none"/>
          </w:rPr>
          <w:t>nsc</w:t>
        </w:r>
        <w:r w:rsidRPr="006801A2">
          <w:rPr>
            <w:rStyle w:val="a3"/>
            <w:b/>
            <w:color w:val="auto"/>
            <w:u w:val="none"/>
            <w:lang w:val="ru-RU"/>
          </w:rPr>
          <w:t>.</w:t>
        </w:r>
        <w:r w:rsidRPr="006801A2">
          <w:rPr>
            <w:rStyle w:val="a3"/>
            <w:b/>
            <w:color w:val="auto"/>
            <w:u w:val="none"/>
          </w:rPr>
          <w:t>ru</w:t>
        </w:r>
      </w:hyperlink>
    </w:p>
    <w:p w:rsidR="0070448C" w:rsidRDefault="0070448C" w:rsidP="00AA342A">
      <w:pPr>
        <w:pStyle w:val="a5"/>
        <w:ind w:firstLine="709"/>
        <w:jc w:val="both"/>
        <w:rPr>
          <w:lang w:val="ru-RU"/>
        </w:rPr>
      </w:pPr>
      <w:proofErr w:type="gramStart"/>
      <w:r w:rsidRPr="0070448C">
        <w:rPr>
          <w:b/>
          <w:sz w:val="20"/>
          <w:szCs w:val="20"/>
        </w:rPr>
        <w:t>Аннотация</w:t>
      </w:r>
      <w:r>
        <w:rPr>
          <w:sz w:val="20"/>
          <w:szCs w:val="20"/>
        </w:rPr>
        <w:t xml:space="preserve">. </w:t>
      </w:r>
      <w:r w:rsidR="00F927C0" w:rsidRPr="0070448C">
        <w:rPr>
          <w:sz w:val="20"/>
          <w:szCs w:val="20"/>
          <w:lang w:val="ru-RU"/>
        </w:rPr>
        <w:t xml:space="preserve">В </w:t>
      </w:r>
      <w:r w:rsidRPr="0070448C">
        <w:rPr>
          <w:sz w:val="20"/>
          <w:szCs w:val="20"/>
          <w:lang w:val="ru-RU"/>
        </w:rPr>
        <w:t>докладе</w:t>
      </w:r>
      <w:r w:rsidR="00F927C0" w:rsidRPr="0070448C">
        <w:rPr>
          <w:sz w:val="20"/>
          <w:szCs w:val="20"/>
          <w:lang w:val="ru-RU"/>
        </w:rPr>
        <w:t xml:space="preserve"> предлагается подход к разработке механизмов государственно</w:t>
      </w:r>
      <w:r w:rsidRPr="0070448C">
        <w:rPr>
          <w:sz w:val="20"/>
          <w:szCs w:val="20"/>
          <w:lang w:val="ru-RU"/>
        </w:rPr>
        <w:t>го</w:t>
      </w:r>
      <w:r w:rsidR="00F927C0" w:rsidRPr="0070448C">
        <w:rPr>
          <w:sz w:val="20"/>
          <w:szCs w:val="20"/>
          <w:lang w:val="ru-RU"/>
        </w:rPr>
        <w:t xml:space="preserve"> </w:t>
      </w:r>
      <w:r w:rsidRPr="0070448C">
        <w:rPr>
          <w:sz w:val="20"/>
          <w:szCs w:val="20"/>
          <w:lang w:val="ru-RU"/>
        </w:rPr>
        <w:t>регулирования</w:t>
      </w:r>
      <w:r w:rsidR="00F927C0" w:rsidRPr="0070448C">
        <w:rPr>
          <w:sz w:val="20"/>
          <w:szCs w:val="20"/>
          <w:lang w:val="ru-RU"/>
        </w:rPr>
        <w:t xml:space="preserve"> </w:t>
      </w:r>
      <w:proofErr w:type="spellStart"/>
      <w:r w:rsidR="005B1174">
        <w:rPr>
          <w:sz w:val="20"/>
          <w:szCs w:val="20"/>
          <w:lang w:val="ru-RU"/>
        </w:rPr>
        <w:t>перетока</w:t>
      </w:r>
      <w:proofErr w:type="spellEnd"/>
      <w:r w:rsidRPr="0070448C">
        <w:rPr>
          <w:sz w:val="20"/>
          <w:szCs w:val="20"/>
          <w:lang w:val="ru-RU"/>
        </w:rPr>
        <w:t xml:space="preserve"> финансовых ресурсов для реализации проектов нефтегазохимии</w:t>
      </w:r>
      <w:r w:rsidR="005B1174">
        <w:rPr>
          <w:sz w:val="20"/>
          <w:szCs w:val="20"/>
          <w:lang w:val="ru-RU"/>
        </w:rPr>
        <w:t>,</w:t>
      </w:r>
      <w:r w:rsidRPr="0070448C">
        <w:rPr>
          <w:sz w:val="20"/>
          <w:szCs w:val="20"/>
          <w:lang w:val="ru-RU"/>
        </w:rPr>
        <w:t xml:space="preserve"> сырьевой базой которых являются углеводородные ресурсы Восточной Сибири и Республики Саха (Якутии)</w:t>
      </w:r>
      <w:r>
        <w:rPr>
          <w:sz w:val="20"/>
          <w:szCs w:val="20"/>
          <w:lang w:val="ru-RU"/>
        </w:rPr>
        <w:t>.</w:t>
      </w:r>
      <w:proofErr w:type="gramEnd"/>
      <w:r w:rsidRPr="0070448C">
        <w:rPr>
          <w:sz w:val="20"/>
          <w:szCs w:val="20"/>
          <w:lang w:val="ru-RU"/>
        </w:rPr>
        <w:t xml:space="preserve"> </w:t>
      </w:r>
      <w:r w:rsidR="00552213" w:rsidRPr="005B1174">
        <w:rPr>
          <w:sz w:val="20"/>
          <w:szCs w:val="20"/>
          <w:lang w:val="ru-RU"/>
        </w:rPr>
        <w:t xml:space="preserve">В качестве инструментария предлагается сетевая модель и имитационная модель оценки эффективности инвестиционной программы </w:t>
      </w:r>
      <w:proofErr w:type="spellStart"/>
      <w:r w:rsidR="00552213" w:rsidRPr="005B1174">
        <w:rPr>
          <w:sz w:val="20"/>
          <w:szCs w:val="20"/>
          <w:lang w:val="ru-RU"/>
        </w:rPr>
        <w:t>мегапроекта</w:t>
      </w:r>
      <w:proofErr w:type="spellEnd"/>
      <w:r w:rsidR="00552213" w:rsidRPr="005B1174">
        <w:rPr>
          <w:sz w:val="20"/>
          <w:szCs w:val="20"/>
          <w:lang w:val="ru-RU"/>
        </w:rPr>
        <w:t xml:space="preserve"> </w:t>
      </w:r>
      <w:r w:rsidR="00DE5BF2" w:rsidRPr="00DE5BF2">
        <w:rPr>
          <w:sz w:val="20"/>
          <w:szCs w:val="20"/>
          <w:lang w:val="ru-RU"/>
        </w:rPr>
        <w:t>Восточно-Сибирского нефтегазового комплекса</w:t>
      </w:r>
      <w:r w:rsidR="00DE5BF2" w:rsidRPr="005B1174">
        <w:rPr>
          <w:sz w:val="20"/>
          <w:szCs w:val="20"/>
          <w:lang w:val="ru-RU"/>
        </w:rPr>
        <w:t xml:space="preserve"> </w:t>
      </w:r>
      <w:r w:rsidR="00DE5BF2">
        <w:rPr>
          <w:sz w:val="20"/>
          <w:szCs w:val="20"/>
          <w:lang w:val="ru-RU"/>
        </w:rPr>
        <w:t>(</w:t>
      </w:r>
      <w:r w:rsidR="00552213" w:rsidRPr="005B1174">
        <w:rPr>
          <w:sz w:val="20"/>
          <w:szCs w:val="20"/>
          <w:lang w:val="ru-RU"/>
        </w:rPr>
        <w:t>ВСНГК</w:t>
      </w:r>
      <w:r w:rsidR="00DE5BF2">
        <w:rPr>
          <w:sz w:val="20"/>
          <w:szCs w:val="20"/>
          <w:lang w:val="ru-RU"/>
        </w:rPr>
        <w:t>)</w:t>
      </w:r>
      <w:proofErr w:type="gramStart"/>
      <w:r w:rsidR="00552213" w:rsidRPr="005B1174">
        <w:rPr>
          <w:sz w:val="20"/>
          <w:szCs w:val="20"/>
          <w:lang w:val="ru-RU"/>
        </w:rPr>
        <w:t>.</w:t>
      </w:r>
      <w:proofErr w:type="gramEnd"/>
      <w:r w:rsidR="00552213" w:rsidRPr="005B1174">
        <w:rPr>
          <w:sz w:val="20"/>
          <w:szCs w:val="20"/>
          <w:lang w:val="ru-RU"/>
        </w:rPr>
        <w:t xml:space="preserve"> </w:t>
      </w:r>
      <w:r w:rsidR="00900077">
        <w:rPr>
          <w:sz w:val="20"/>
          <w:szCs w:val="20"/>
          <w:lang w:val="ru-RU"/>
        </w:rPr>
        <w:t>Предложена схема р</w:t>
      </w:r>
      <w:r w:rsidR="00AA342A" w:rsidRPr="00AA342A">
        <w:rPr>
          <w:bCs/>
          <w:sz w:val="20"/>
          <w:szCs w:val="20"/>
          <w:lang w:val="ru-RU"/>
        </w:rPr>
        <w:t>азработк</w:t>
      </w:r>
      <w:r w:rsidR="00900077">
        <w:rPr>
          <w:bCs/>
          <w:sz w:val="20"/>
          <w:szCs w:val="20"/>
          <w:lang w:val="ru-RU"/>
        </w:rPr>
        <w:t>и</w:t>
      </w:r>
      <w:r w:rsidR="00AA342A" w:rsidRPr="00AA342A">
        <w:rPr>
          <w:bCs/>
          <w:sz w:val="20"/>
          <w:szCs w:val="20"/>
          <w:lang w:val="ru-RU"/>
        </w:rPr>
        <w:t xml:space="preserve"> механизмов государственного регулирования </w:t>
      </w:r>
      <w:r w:rsidR="00900077">
        <w:rPr>
          <w:bCs/>
          <w:sz w:val="20"/>
          <w:szCs w:val="20"/>
          <w:lang w:val="ru-RU"/>
        </w:rPr>
        <w:t xml:space="preserve">финансовых </w:t>
      </w:r>
      <w:proofErr w:type="spellStart"/>
      <w:r w:rsidR="00900077">
        <w:rPr>
          <w:bCs/>
          <w:sz w:val="20"/>
          <w:szCs w:val="20"/>
          <w:lang w:val="ru-RU"/>
        </w:rPr>
        <w:t>перетоков</w:t>
      </w:r>
      <w:proofErr w:type="spellEnd"/>
      <w:r w:rsidR="00900077">
        <w:rPr>
          <w:bCs/>
          <w:sz w:val="20"/>
          <w:szCs w:val="20"/>
          <w:lang w:val="ru-RU"/>
        </w:rPr>
        <w:t xml:space="preserve"> из сырьевого сектора, которая </w:t>
      </w:r>
      <w:r w:rsidR="00AA342A" w:rsidRPr="00AA342A">
        <w:rPr>
          <w:bCs/>
          <w:sz w:val="20"/>
          <w:szCs w:val="20"/>
          <w:lang w:val="ru-RU"/>
        </w:rPr>
        <w:t xml:space="preserve">основана на анализе денежных потоков участников </w:t>
      </w:r>
      <w:proofErr w:type="spellStart"/>
      <w:r w:rsidR="00AA342A" w:rsidRPr="00AA342A">
        <w:rPr>
          <w:bCs/>
          <w:sz w:val="20"/>
          <w:szCs w:val="20"/>
          <w:lang w:val="ru-RU"/>
        </w:rPr>
        <w:t>мегапроекта</w:t>
      </w:r>
      <w:proofErr w:type="spellEnd"/>
      <w:r w:rsidR="00AA342A" w:rsidRPr="00AA342A">
        <w:rPr>
          <w:bCs/>
          <w:sz w:val="20"/>
          <w:szCs w:val="20"/>
          <w:lang w:val="ru-RU"/>
        </w:rPr>
        <w:t xml:space="preserve"> при реализации календарных планов инвестиционной программы ВСНГК и оценке выгод государства и компаний при различных вариантах государственной поддержки инвестиционных проектов участников с позиций стратегических интересов государства и бизнеса в </w:t>
      </w:r>
      <w:proofErr w:type="spellStart"/>
      <w:r w:rsidR="00AA342A" w:rsidRPr="00AA342A">
        <w:rPr>
          <w:bCs/>
          <w:sz w:val="20"/>
          <w:szCs w:val="20"/>
          <w:lang w:val="ru-RU"/>
        </w:rPr>
        <w:t>мегапроекте</w:t>
      </w:r>
      <w:proofErr w:type="spellEnd"/>
      <w:r w:rsidR="00900077">
        <w:rPr>
          <w:bCs/>
          <w:sz w:val="20"/>
          <w:szCs w:val="20"/>
          <w:lang w:val="ru-RU"/>
        </w:rPr>
        <w:t>.</w:t>
      </w:r>
      <w:r w:rsidR="00AA342A" w:rsidRPr="005B1174">
        <w:rPr>
          <w:lang w:val="ru-RU"/>
        </w:rPr>
        <w:t xml:space="preserve"> </w:t>
      </w:r>
    </w:p>
    <w:p w:rsidR="00AA342A" w:rsidRPr="00AA342A" w:rsidRDefault="00AA342A" w:rsidP="00AA342A">
      <w:pPr>
        <w:pStyle w:val="a5"/>
        <w:ind w:firstLine="567"/>
        <w:jc w:val="both"/>
        <w:rPr>
          <w:color w:val="000000"/>
          <w:sz w:val="20"/>
          <w:szCs w:val="20"/>
          <w:lang w:val="ru-RU"/>
        </w:rPr>
      </w:pPr>
      <w:r w:rsidRPr="00AA342A">
        <w:rPr>
          <w:b/>
          <w:bCs/>
          <w:sz w:val="20"/>
          <w:szCs w:val="20"/>
          <w:lang w:val="ru-RU"/>
        </w:rPr>
        <w:t xml:space="preserve">Актуальность проблемы. </w:t>
      </w:r>
      <w:r w:rsidRPr="00AA342A">
        <w:rPr>
          <w:sz w:val="20"/>
          <w:szCs w:val="20"/>
          <w:lang w:val="ru-RU"/>
        </w:rPr>
        <w:t>В настоящее время началось интенсивное формирование нефтегазового сектора в Восточной Сибири и Республике Саха (Якутия) и возросла актуальность государственного стратегического планирования</w:t>
      </w:r>
      <w:r w:rsidRPr="00AA342A">
        <w:rPr>
          <w:bCs/>
          <w:sz w:val="20"/>
          <w:szCs w:val="20"/>
          <w:lang w:val="ru-RU"/>
        </w:rPr>
        <w:t xml:space="preserve"> м</w:t>
      </w:r>
      <w:r w:rsidRPr="00AA342A">
        <w:rPr>
          <w:iCs/>
          <w:color w:val="000000"/>
          <w:sz w:val="20"/>
          <w:szCs w:val="20"/>
          <w:lang w:val="ru-RU"/>
        </w:rPr>
        <w:t>ежотраслевого</w:t>
      </w:r>
      <w:r w:rsidRPr="00AA342A">
        <w:rPr>
          <w:sz w:val="20"/>
          <w:szCs w:val="20"/>
          <w:lang w:val="ru-RU"/>
        </w:rPr>
        <w:t xml:space="preserve"> </w:t>
      </w:r>
      <w:proofErr w:type="spellStart"/>
      <w:r w:rsidRPr="00AA342A">
        <w:rPr>
          <w:sz w:val="20"/>
          <w:szCs w:val="20"/>
          <w:lang w:val="ru-RU"/>
        </w:rPr>
        <w:t>многорегионального</w:t>
      </w:r>
      <w:proofErr w:type="spellEnd"/>
      <w:r w:rsidRPr="00AA342A">
        <w:rPr>
          <w:sz w:val="20"/>
          <w:szCs w:val="20"/>
          <w:lang w:val="ru-RU"/>
        </w:rPr>
        <w:t xml:space="preserve"> ресурсного </w:t>
      </w:r>
      <w:proofErr w:type="spellStart"/>
      <w:r w:rsidRPr="00AA342A">
        <w:rPr>
          <w:sz w:val="20"/>
          <w:szCs w:val="20"/>
          <w:lang w:val="ru-RU"/>
        </w:rPr>
        <w:t>мегапроекта</w:t>
      </w:r>
      <w:proofErr w:type="spellEnd"/>
      <w:r w:rsidRPr="00AA342A">
        <w:rPr>
          <w:sz w:val="20"/>
          <w:szCs w:val="20"/>
          <w:lang w:val="ru-RU"/>
        </w:rPr>
        <w:t xml:space="preserve"> создания Восточно-Сибирского нефтегазового комплекса (ВСНГК)</w:t>
      </w:r>
      <w:r w:rsidRPr="00AA342A">
        <w:rPr>
          <w:bCs/>
          <w:sz w:val="20"/>
          <w:szCs w:val="20"/>
          <w:lang w:val="ru-RU"/>
        </w:rPr>
        <w:t xml:space="preserve"> для решения задач </w:t>
      </w:r>
      <w:r w:rsidRPr="00AA342A">
        <w:rPr>
          <w:sz w:val="20"/>
          <w:szCs w:val="20"/>
          <w:lang w:val="ru-RU"/>
        </w:rPr>
        <w:t xml:space="preserve">организации эффективного комплексного использования углеводородов и реализации проектов Восточно-Сибирского и Дальневосточного нефтегазохимических </w:t>
      </w:r>
      <w:r>
        <w:rPr>
          <w:sz w:val="20"/>
          <w:szCs w:val="20"/>
          <w:lang w:val="ru-RU"/>
        </w:rPr>
        <w:t>комплексов</w:t>
      </w:r>
      <w:r w:rsidR="009636D0" w:rsidRPr="009636D0">
        <w:rPr>
          <w:sz w:val="20"/>
          <w:szCs w:val="20"/>
          <w:lang w:val="ru-RU"/>
        </w:rPr>
        <w:t>[2]</w:t>
      </w:r>
      <w:r>
        <w:rPr>
          <w:sz w:val="20"/>
          <w:szCs w:val="20"/>
          <w:lang w:val="ru-RU"/>
        </w:rPr>
        <w:t xml:space="preserve">. </w:t>
      </w:r>
      <w:r w:rsidRPr="00AA342A">
        <w:rPr>
          <w:sz w:val="20"/>
          <w:szCs w:val="20"/>
          <w:lang w:val="ru-RU"/>
        </w:rPr>
        <w:t xml:space="preserve">Для успешной реализации </w:t>
      </w:r>
      <w:r>
        <w:rPr>
          <w:sz w:val="20"/>
          <w:szCs w:val="20"/>
          <w:lang w:val="ru-RU"/>
        </w:rPr>
        <w:t>нефте</w:t>
      </w:r>
      <w:r w:rsidRPr="00AA342A">
        <w:rPr>
          <w:sz w:val="20"/>
          <w:szCs w:val="20"/>
          <w:lang w:val="ru-RU"/>
        </w:rPr>
        <w:t>газохимических проектов в Восточной Сибири и на Дальнем Востоке необходимо учитывать наиболее существенные факторы влияния. И прежде всего: рынки сбыта, способы поставки газа и логистику продукции, место размещения перерабатывающих мощностей и ценообразование на природный газ</w:t>
      </w:r>
      <w:proofErr w:type="gramStart"/>
      <w:r w:rsidRPr="00AA342A">
        <w:rPr>
          <w:sz w:val="20"/>
          <w:szCs w:val="20"/>
          <w:lang w:val="ru-RU"/>
        </w:rPr>
        <w:t>.</w:t>
      </w:r>
      <w:proofErr w:type="gramEnd"/>
      <w:r w:rsidRPr="00AA342A">
        <w:rPr>
          <w:sz w:val="20"/>
          <w:szCs w:val="20"/>
          <w:lang w:val="ru-RU"/>
        </w:rPr>
        <w:t xml:space="preserve"> </w:t>
      </w:r>
      <w:r w:rsidRPr="00AA342A">
        <w:rPr>
          <w:sz w:val="20"/>
          <w:szCs w:val="20"/>
          <w:lang w:val="ru-RU"/>
        </w:rPr>
        <w:t>Важным услови</w:t>
      </w:r>
      <w:r w:rsidR="008A2BBE">
        <w:rPr>
          <w:sz w:val="20"/>
          <w:szCs w:val="20"/>
          <w:lang w:val="ru-RU"/>
        </w:rPr>
        <w:t>я</w:t>
      </w:r>
      <w:r w:rsidRPr="00AA342A">
        <w:rPr>
          <w:sz w:val="20"/>
          <w:szCs w:val="20"/>
          <w:lang w:val="ru-RU"/>
        </w:rPr>
        <w:t>м</w:t>
      </w:r>
      <w:r w:rsidR="008A2BBE">
        <w:rPr>
          <w:sz w:val="20"/>
          <w:szCs w:val="20"/>
          <w:lang w:val="ru-RU"/>
        </w:rPr>
        <w:t>и</w:t>
      </w:r>
      <w:r w:rsidRPr="00AA342A">
        <w:rPr>
          <w:sz w:val="20"/>
          <w:szCs w:val="20"/>
          <w:lang w:val="ru-RU"/>
        </w:rPr>
        <w:t xml:space="preserve"> эффективности формирования проектируемых </w:t>
      </w:r>
      <w:r w:rsidR="00493CBA">
        <w:rPr>
          <w:sz w:val="20"/>
          <w:szCs w:val="20"/>
          <w:lang w:val="ru-RU"/>
        </w:rPr>
        <w:t xml:space="preserve">комплексов </w:t>
      </w:r>
      <w:r w:rsidRPr="00AA342A">
        <w:rPr>
          <w:sz w:val="20"/>
          <w:szCs w:val="20"/>
          <w:lang w:val="ru-RU"/>
        </w:rPr>
        <w:t xml:space="preserve">является </w:t>
      </w:r>
      <w:r w:rsidR="008A2BBE">
        <w:rPr>
          <w:sz w:val="20"/>
          <w:szCs w:val="20"/>
          <w:lang w:val="ru-RU"/>
        </w:rPr>
        <w:t xml:space="preserve">обеспечение сбалансированности по сырью и </w:t>
      </w:r>
      <w:r w:rsidRPr="00AA342A">
        <w:rPr>
          <w:sz w:val="20"/>
          <w:szCs w:val="20"/>
          <w:lang w:val="ru-RU"/>
        </w:rPr>
        <w:t>консолидация усилий и ресурсов государства и участников для обеспечения синхронности и комплексности выполнения проектов разных отраслей</w:t>
      </w:r>
      <w:r w:rsidRPr="00493CBA">
        <w:rPr>
          <w:sz w:val="20"/>
          <w:szCs w:val="20"/>
          <w:lang w:val="ru-RU"/>
        </w:rPr>
        <w:t xml:space="preserve">, разработка системы взаимосвязанных механизмов государственного регулирования и мер государственной поддержки нефтегазохимических и сырьевых компаний </w:t>
      </w:r>
      <w:proofErr w:type="gramStart"/>
      <w:r w:rsidRPr="00493CBA">
        <w:rPr>
          <w:sz w:val="20"/>
          <w:szCs w:val="20"/>
          <w:lang w:val="ru-RU"/>
        </w:rPr>
        <w:t>в</w:t>
      </w:r>
      <w:proofErr w:type="gramEnd"/>
      <w:r w:rsidRPr="00493CBA">
        <w:rPr>
          <w:sz w:val="20"/>
          <w:szCs w:val="20"/>
          <w:lang w:val="ru-RU"/>
        </w:rPr>
        <w:t xml:space="preserve"> ресурсных </w:t>
      </w:r>
      <w:proofErr w:type="spellStart"/>
      <w:r w:rsidRPr="00493CBA">
        <w:rPr>
          <w:sz w:val="20"/>
          <w:szCs w:val="20"/>
          <w:lang w:val="ru-RU"/>
        </w:rPr>
        <w:t>мегапроектах</w:t>
      </w:r>
      <w:proofErr w:type="spellEnd"/>
      <w:r w:rsidR="00A66D28">
        <w:rPr>
          <w:rStyle w:val="aa"/>
          <w:sz w:val="20"/>
          <w:szCs w:val="20"/>
          <w:lang w:val="ru-RU"/>
        </w:rPr>
        <w:footnoteReference w:id="1"/>
      </w:r>
      <w:r w:rsidRPr="00493CBA">
        <w:rPr>
          <w:sz w:val="20"/>
          <w:szCs w:val="20"/>
          <w:lang w:val="ru-RU"/>
        </w:rPr>
        <w:t>.</w:t>
      </w:r>
      <w:r w:rsidRPr="00AA342A">
        <w:rPr>
          <w:sz w:val="20"/>
          <w:szCs w:val="20"/>
          <w:lang w:val="ru-RU"/>
        </w:rPr>
        <w:t xml:space="preserve"> </w:t>
      </w:r>
    </w:p>
    <w:p w:rsidR="009636D0" w:rsidRPr="00A66D28" w:rsidRDefault="009636D0" w:rsidP="00A66D28">
      <w:pPr>
        <w:spacing w:after="0" w:line="240" w:lineRule="auto"/>
        <w:ind w:firstLine="709"/>
        <w:jc w:val="both"/>
        <w:rPr>
          <w:rFonts w:ascii="Times New Roman" w:hAnsi="Times New Roman" w:cs="Times New Roman"/>
          <w:bCs/>
          <w:sz w:val="20"/>
          <w:szCs w:val="20"/>
        </w:rPr>
      </w:pPr>
      <w:proofErr w:type="spellStart"/>
      <w:proofErr w:type="gramStart"/>
      <w:r w:rsidRPr="00A66D28">
        <w:rPr>
          <w:rFonts w:ascii="Times New Roman" w:hAnsi="Times New Roman" w:cs="Times New Roman"/>
          <w:bCs/>
          <w:sz w:val="20"/>
          <w:szCs w:val="20"/>
        </w:rPr>
        <w:t>Мегапроект</w:t>
      </w:r>
      <w:proofErr w:type="spellEnd"/>
      <w:r w:rsidRPr="00A66D28">
        <w:rPr>
          <w:rFonts w:ascii="Times New Roman" w:hAnsi="Times New Roman" w:cs="Times New Roman"/>
          <w:bCs/>
          <w:sz w:val="20"/>
          <w:szCs w:val="20"/>
        </w:rPr>
        <w:t xml:space="preserve"> ВСНГК представляет инвестиционную программу развертывания во времени стратегий освоения нефтегазовых ресурсов </w:t>
      </w:r>
      <w:r w:rsidR="00A66D28" w:rsidRPr="00A66D28">
        <w:rPr>
          <w:rStyle w:val="ab"/>
          <w:rFonts w:ascii="Times New Roman" w:hAnsi="Times New Roman"/>
          <w:b w:val="0"/>
          <w:bCs/>
          <w:sz w:val="20"/>
          <w:szCs w:val="20"/>
        </w:rPr>
        <w:t>Восточной Сибири и Республики Саха (Якутия)</w:t>
      </w:r>
      <w:r w:rsidR="00A66D28">
        <w:rPr>
          <w:rStyle w:val="ab"/>
          <w:rFonts w:ascii="Times New Roman" w:hAnsi="Times New Roman"/>
          <w:b w:val="0"/>
          <w:bCs/>
          <w:sz w:val="20"/>
          <w:szCs w:val="20"/>
        </w:rPr>
        <w:t xml:space="preserve"> </w:t>
      </w:r>
      <w:r w:rsidRPr="00A66D28">
        <w:rPr>
          <w:rFonts w:ascii="Times New Roman" w:hAnsi="Times New Roman" w:cs="Times New Roman"/>
          <w:bCs/>
          <w:sz w:val="20"/>
          <w:szCs w:val="20"/>
        </w:rPr>
        <w:t xml:space="preserve">и создания нефтегазохимических </w:t>
      </w:r>
      <w:r w:rsidR="00A66D28">
        <w:rPr>
          <w:rFonts w:ascii="Times New Roman" w:hAnsi="Times New Roman" w:cs="Times New Roman"/>
          <w:bCs/>
          <w:sz w:val="20"/>
          <w:szCs w:val="20"/>
        </w:rPr>
        <w:t>комплексов</w:t>
      </w:r>
      <w:r w:rsidRPr="00A66D28">
        <w:rPr>
          <w:rFonts w:ascii="Times New Roman" w:hAnsi="Times New Roman" w:cs="Times New Roman"/>
          <w:bCs/>
          <w:sz w:val="20"/>
          <w:szCs w:val="20"/>
        </w:rPr>
        <w:t xml:space="preserve"> </w:t>
      </w:r>
      <w:r w:rsidR="00A66D28" w:rsidRPr="00A66D28">
        <w:rPr>
          <w:rStyle w:val="ab"/>
          <w:rFonts w:ascii="Times New Roman" w:hAnsi="Times New Roman"/>
          <w:b w:val="0"/>
          <w:bCs/>
          <w:sz w:val="20"/>
          <w:szCs w:val="20"/>
        </w:rPr>
        <w:t>Якутского ГХК и Амурского ГХК как части Дальневосточного кластера и формирование Восточно-Сибирского нефтегазохимического кластера в</w:t>
      </w:r>
      <w:r w:rsidR="00A66D28" w:rsidRPr="00A66D28">
        <w:rPr>
          <w:rStyle w:val="c1"/>
          <w:rFonts w:ascii="Times New Roman" w:hAnsi="Times New Roman"/>
          <w:sz w:val="20"/>
          <w:szCs w:val="20"/>
        </w:rPr>
        <w:t xml:space="preserve"> Красноярском крае и Иркутской области до 2030 г.</w:t>
      </w:r>
      <w:r w:rsidR="00A66D28">
        <w:rPr>
          <w:rStyle w:val="c1"/>
          <w:rFonts w:ascii="Times New Roman" w:hAnsi="Times New Roman"/>
          <w:sz w:val="20"/>
          <w:szCs w:val="20"/>
        </w:rPr>
        <w:t xml:space="preserve"> в</w:t>
      </w:r>
      <w:r w:rsidRPr="00A66D28">
        <w:rPr>
          <w:rFonts w:ascii="Times New Roman" w:hAnsi="Times New Roman" w:cs="Times New Roman"/>
          <w:bCs/>
          <w:sz w:val="20"/>
          <w:szCs w:val="20"/>
        </w:rPr>
        <w:t xml:space="preserve"> соответствии с Планом развития газо- и нефтехимии России на период </w:t>
      </w:r>
      <w:r w:rsidRPr="00A66D28">
        <w:rPr>
          <w:rFonts w:ascii="Times New Roman" w:hAnsi="Times New Roman" w:cs="Times New Roman"/>
          <w:sz w:val="20"/>
          <w:szCs w:val="20"/>
        </w:rPr>
        <w:t>до 2030 гг.[1]</w:t>
      </w:r>
      <w:r w:rsidRPr="00A66D28">
        <w:rPr>
          <w:rFonts w:ascii="Times New Roman" w:hAnsi="Times New Roman" w:cs="Times New Roman"/>
          <w:bCs/>
          <w:sz w:val="20"/>
          <w:szCs w:val="20"/>
        </w:rPr>
        <w:t xml:space="preserve"> </w:t>
      </w:r>
      <w:proofErr w:type="gramEnd"/>
    </w:p>
    <w:p w:rsidR="00686161" w:rsidRDefault="00686161" w:rsidP="00686161">
      <w:pPr>
        <w:pStyle w:val="a5"/>
        <w:ind w:firstLine="709"/>
        <w:jc w:val="both"/>
        <w:rPr>
          <w:sz w:val="20"/>
          <w:szCs w:val="20"/>
          <w:lang w:val="ru-RU"/>
        </w:rPr>
      </w:pPr>
      <w:r w:rsidRPr="00686161">
        <w:rPr>
          <w:b/>
          <w:bCs/>
          <w:sz w:val="20"/>
          <w:szCs w:val="20"/>
          <w:lang w:val="ru-RU"/>
        </w:rPr>
        <w:t>Предлагаемый инструментарий</w:t>
      </w:r>
      <w:r w:rsidRPr="00686161">
        <w:rPr>
          <w:bCs/>
          <w:sz w:val="20"/>
          <w:szCs w:val="20"/>
          <w:lang w:val="ru-RU"/>
        </w:rPr>
        <w:t xml:space="preserve"> представляет собой модельный комплекс, который </w:t>
      </w:r>
      <w:r w:rsidRPr="00686161">
        <w:rPr>
          <w:sz w:val="20"/>
          <w:szCs w:val="20"/>
          <w:lang w:val="ru-RU"/>
        </w:rPr>
        <w:t xml:space="preserve">состоит из сетевой модели инвестиционной программы </w:t>
      </w:r>
      <w:proofErr w:type="spellStart"/>
      <w:r w:rsidRPr="00686161">
        <w:rPr>
          <w:sz w:val="20"/>
          <w:szCs w:val="20"/>
          <w:lang w:val="ru-RU"/>
        </w:rPr>
        <w:t>мегапроекта</w:t>
      </w:r>
      <w:proofErr w:type="spellEnd"/>
      <w:r w:rsidRPr="00686161">
        <w:rPr>
          <w:sz w:val="20"/>
          <w:szCs w:val="20"/>
          <w:lang w:val="ru-RU"/>
        </w:rPr>
        <w:t xml:space="preserve"> и имитационной модели оценки эффективности вариантов программы при различных режимах государственного регулирования. </w:t>
      </w:r>
      <w:r w:rsidRPr="00686161">
        <w:rPr>
          <w:i/>
          <w:sz w:val="20"/>
          <w:szCs w:val="20"/>
          <w:lang w:val="ru-RU"/>
        </w:rPr>
        <w:t>Сетевая модель</w:t>
      </w:r>
      <w:r w:rsidRPr="00686161">
        <w:rPr>
          <w:sz w:val="20"/>
          <w:szCs w:val="20"/>
          <w:lang w:val="ru-RU"/>
        </w:rPr>
        <w:t xml:space="preserve"> предоставляет возможность отражения различных вариантов динамики используемых ресурсов и выпускаемой продукции в инвестиционных проектах добывающих и перерабатывающих отраслей и резервов времени, как особого управленческого ресурса. Она позволяет согласовать во времени стратегические интересы бизнеса различных отраслей и государства. </w:t>
      </w:r>
      <w:r w:rsidRPr="00686161">
        <w:rPr>
          <w:i/>
          <w:sz w:val="20"/>
          <w:szCs w:val="20"/>
          <w:lang w:val="ru-RU"/>
        </w:rPr>
        <w:t>Модель оценки эффективности</w:t>
      </w:r>
      <w:r w:rsidRPr="00686161">
        <w:rPr>
          <w:sz w:val="20"/>
          <w:szCs w:val="20"/>
          <w:lang w:val="ru-RU"/>
        </w:rPr>
        <w:t xml:space="preserve"> вариантов программы предназначена для выявления приоритетных направлений согласования интересов государства и бизнеса, выбора </w:t>
      </w:r>
      <w:proofErr w:type="gramStart"/>
      <w:r w:rsidRPr="00686161">
        <w:rPr>
          <w:sz w:val="20"/>
          <w:szCs w:val="20"/>
          <w:lang w:val="ru-RU"/>
        </w:rPr>
        <w:t>инструментов государственного регулирования инвестиционной привлекательности проектов нефте</w:t>
      </w:r>
      <w:r w:rsidR="00A66D28" w:rsidRPr="00686161">
        <w:rPr>
          <w:sz w:val="20"/>
          <w:szCs w:val="20"/>
          <w:lang w:val="ru-RU"/>
        </w:rPr>
        <w:t>газ</w:t>
      </w:r>
      <w:r w:rsidR="00A66D28">
        <w:rPr>
          <w:sz w:val="20"/>
          <w:szCs w:val="20"/>
          <w:lang w:val="ru-RU"/>
        </w:rPr>
        <w:t>о</w:t>
      </w:r>
      <w:r w:rsidRPr="00686161">
        <w:rPr>
          <w:sz w:val="20"/>
          <w:szCs w:val="20"/>
          <w:lang w:val="ru-RU"/>
        </w:rPr>
        <w:t>химии</w:t>
      </w:r>
      <w:proofErr w:type="gramEnd"/>
      <w:r w:rsidRPr="00686161">
        <w:rPr>
          <w:sz w:val="20"/>
          <w:szCs w:val="20"/>
          <w:lang w:val="ru-RU"/>
        </w:rPr>
        <w:t xml:space="preserve">. Модель основана на системе расчетов оценки эффективности для сырьевых и нефтегазохимических проектов при различных вариантах налогового и ценового регулирования. </w:t>
      </w:r>
    </w:p>
    <w:p w:rsidR="008D2CB0" w:rsidRPr="008D2CB0" w:rsidRDefault="008D2CB0" w:rsidP="001B0FCA">
      <w:pPr>
        <w:spacing w:after="0" w:line="240" w:lineRule="auto"/>
        <w:ind w:firstLine="709"/>
        <w:jc w:val="both"/>
        <w:rPr>
          <w:rFonts w:ascii="Times New Roman" w:hAnsi="Times New Roman" w:cs="Times New Roman"/>
          <w:sz w:val="20"/>
          <w:szCs w:val="20"/>
        </w:rPr>
      </w:pPr>
      <w:r w:rsidRPr="001B0FCA">
        <w:rPr>
          <w:rFonts w:ascii="Times New Roman" w:hAnsi="Times New Roman" w:cs="Times New Roman"/>
          <w:b/>
          <w:sz w:val="20"/>
          <w:szCs w:val="20"/>
        </w:rPr>
        <w:lastRenderedPageBreak/>
        <w:t xml:space="preserve">Разработка </w:t>
      </w:r>
      <w:proofErr w:type="gramStart"/>
      <w:r w:rsidRPr="001B0FCA">
        <w:rPr>
          <w:rFonts w:ascii="Times New Roman" w:hAnsi="Times New Roman" w:cs="Times New Roman"/>
          <w:b/>
          <w:sz w:val="20"/>
          <w:szCs w:val="20"/>
        </w:rPr>
        <w:t>схемы координации планов участников реализации</w:t>
      </w:r>
      <w:proofErr w:type="gramEnd"/>
      <w:r w:rsidRPr="00370F0D">
        <w:rPr>
          <w:rFonts w:ascii="Times New Roman" w:hAnsi="Times New Roman" w:cs="Times New Roman"/>
          <w:b/>
          <w:sz w:val="20"/>
          <w:szCs w:val="20"/>
        </w:rPr>
        <w:t xml:space="preserve"> </w:t>
      </w:r>
      <w:proofErr w:type="spellStart"/>
      <w:r w:rsidRPr="00370F0D">
        <w:rPr>
          <w:rFonts w:ascii="Times New Roman" w:hAnsi="Times New Roman" w:cs="Times New Roman"/>
          <w:b/>
          <w:sz w:val="20"/>
          <w:szCs w:val="20"/>
        </w:rPr>
        <w:t>мегапроектов</w:t>
      </w:r>
      <w:proofErr w:type="spellEnd"/>
      <w:r w:rsidRPr="008D2CB0">
        <w:rPr>
          <w:rFonts w:ascii="Times New Roman" w:hAnsi="Times New Roman" w:cs="Times New Roman"/>
          <w:sz w:val="20"/>
          <w:szCs w:val="20"/>
        </w:rPr>
        <w:t xml:space="preserve"> основана на использовании сетевой модели </w:t>
      </w:r>
      <w:proofErr w:type="spellStart"/>
      <w:r w:rsidRPr="008D2CB0">
        <w:rPr>
          <w:rFonts w:ascii="Times New Roman" w:hAnsi="Times New Roman" w:cs="Times New Roman"/>
          <w:sz w:val="20"/>
          <w:szCs w:val="20"/>
        </w:rPr>
        <w:t>мегапроекта</w:t>
      </w:r>
      <w:proofErr w:type="spellEnd"/>
      <w:r w:rsidRPr="008D2CB0">
        <w:rPr>
          <w:rFonts w:ascii="Times New Roman" w:hAnsi="Times New Roman" w:cs="Times New Roman"/>
          <w:sz w:val="20"/>
          <w:szCs w:val="20"/>
        </w:rPr>
        <w:t xml:space="preserve">, которая позволяет отразить ресурсы времени, необходимые для согласования стратегических интересов бизнеса и власти. Ресурсно-календарный анализ </w:t>
      </w:r>
      <w:r w:rsidRPr="008D2CB0">
        <w:rPr>
          <w:rFonts w:ascii="Times New Roman" w:hAnsi="Times New Roman" w:cs="Times New Roman"/>
          <w:bCs/>
          <w:sz w:val="20"/>
          <w:szCs w:val="20"/>
        </w:rPr>
        <w:t xml:space="preserve">согласованности инвестиционных планов </w:t>
      </w:r>
      <w:r w:rsidRPr="008D2CB0">
        <w:rPr>
          <w:rFonts w:ascii="Times New Roman" w:hAnsi="Times New Roman" w:cs="Times New Roman"/>
          <w:sz w:val="20"/>
          <w:szCs w:val="20"/>
        </w:rPr>
        <w:t xml:space="preserve">в различных сценариях </w:t>
      </w:r>
      <w:proofErr w:type="spellStart"/>
      <w:r w:rsidRPr="008D2CB0">
        <w:rPr>
          <w:rFonts w:ascii="Times New Roman" w:hAnsi="Times New Roman" w:cs="Times New Roman"/>
          <w:sz w:val="20"/>
          <w:szCs w:val="20"/>
        </w:rPr>
        <w:t>мегапроекта</w:t>
      </w:r>
      <w:proofErr w:type="spellEnd"/>
      <w:r w:rsidRPr="008D2CB0">
        <w:rPr>
          <w:rFonts w:ascii="Times New Roman" w:hAnsi="Times New Roman" w:cs="Times New Roman"/>
          <w:sz w:val="20"/>
          <w:szCs w:val="20"/>
        </w:rPr>
        <w:t xml:space="preserve"> выявляет проблемные ситуации, требующие государственного вмешательства, резервы времени для разработки вариантов государственной поддержки. Выбор механизмов государственной поддержки и инструментов консолидации корпоративных финансовых ресурсов компаний осуществляется с использованием имитационной модели оценки эффективности  инвестиционной программы </w:t>
      </w:r>
      <w:proofErr w:type="spellStart"/>
      <w:r w:rsidRPr="008D2CB0">
        <w:rPr>
          <w:rFonts w:ascii="Times New Roman" w:hAnsi="Times New Roman" w:cs="Times New Roman"/>
          <w:sz w:val="20"/>
          <w:szCs w:val="20"/>
        </w:rPr>
        <w:t>мегапроекта</w:t>
      </w:r>
      <w:proofErr w:type="spellEnd"/>
      <w:r w:rsidRPr="008D2CB0">
        <w:rPr>
          <w:rFonts w:ascii="Times New Roman" w:hAnsi="Times New Roman" w:cs="Times New Roman"/>
          <w:sz w:val="20"/>
          <w:szCs w:val="20"/>
        </w:rPr>
        <w:t>.</w:t>
      </w:r>
    </w:p>
    <w:p w:rsidR="008D2CB0" w:rsidRPr="008D2CB0" w:rsidRDefault="008D2CB0" w:rsidP="008D2CB0">
      <w:pPr>
        <w:spacing w:after="0" w:line="240" w:lineRule="auto"/>
        <w:ind w:firstLine="709"/>
        <w:jc w:val="both"/>
        <w:rPr>
          <w:rFonts w:ascii="Times New Roman" w:hAnsi="Times New Roman" w:cs="Times New Roman"/>
          <w:bCs/>
          <w:sz w:val="20"/>
          <w:szCs w:val="20"/>
        </w:rPr>
      </w:pPr>
      <w:r w:rsidRPr="008D2CB0">
        <w:rPr>
          <w:rFonts w:ascii="Times New Roman" w:hAnsi="Times New Roman" w:cs="Times New Roman"/>
          <w:sz w:val="20"/>
          <w:szCs w:val="20"/>
        </w:rPr>
        <w:t>Формирование допустимого множества государственных управленческих решений осуществляется поэтапно. Первый этап - анализ возможностей самофинансирования проектов компаний определяет необходимость концентрации дополнительных финансовых ресурсов в проблемные проекты. Второй - разработка вариантов межотраслевых пере</w:t>
      </w:r>
      <w:r w:rsidR="007E4650">
        <w:rPr>
          <w:rFonts w:ascii="Times New Roman" w:hAnsi="Times New Roman" w:cs="Times New Roman"/>
          <w:sz w:val="20"/>
          <w:szCs w:val="20"/>
        </w:rPr>
        <w:t>лив</w:t>
      </w:r>
      <w:r w:rsidRPr="008D2CB0">
        <w:rPr>
          <w:rFonts w:ascii="Times New Roman" w:hAnsi="Times New Roman" w:cs="Times New Roman"/>
          <w:sz w:val="20"/>
          <w:szCs w:val="20"/>
        </w:rPr>
        <w:t xml:space="preserve">ов финансовых ресурсов компаний. На заключительном этапе разрабатываются варианты стимулирования интеграции финансовых ресурсов компаний в эти проекты с оценкой выгод государства, регионов и компаний. </w:t>
      </w:r>
    </w:p>
    <w:p w:rsidR="008D2CB0" w:rsidRPr="00370F0D" w:rsidRDefault="008D2CB0" w:rsidP="008D2CB0">
      <w:pPr>
        <w:spacing w:after="0" w:line="240" w:lineRule="auto"/>
        <w:ind w:firstLine="709"/>
        <w:jc w:val="both"/>
        <w:rPr>
          <w:rFonts w:ascii="Times New Roman" w:hAnsi="Times New Roman" w:cs="Times New Roman"/>
          <w:b/>
          <w:sz w:val="20"/>
          <w:szCs w:val="20"/>
        </w:rPr>
      </w:pPr>
      <w:r w:rsidRPr="00370F0D">
        <w:rPr>
          <w:rFonts w:ascii="Times New Roman" w:hAnsi="Times New Roman" w:cs="Times New Roman"/>
          <w:b/>
          <w:sz w:val="20"/>
          <w:szCs w:val="20"/>
        </w:rPr>
        <w:t>Задачи государственного регулирования инвестиционной политики компаний</w:t>
      </w:r>
    </w:p>
    <w:p w:rsidR="008D2CB0" w:rsidRPr="008D2CB0" w:rsidRDefault="008D2CB0" w:rsidP="008D2CB0">
      <w:pPr>
        <w:pStyle w:val="a5"/>
        <w:ind w:firstLine="709"/>
        <w:jc w:val="both"/>
        <w:rPr>
          <w:sz w:val="20"/>
          <w:szCs w:val="20"/>
          <w:lang w:val="ru-RU"/>
        </w:rPr>
      </w:pPr>
      <w:r w:rsidRPr="008D2CB0">
        <w:rPr>
          <w:color w:val="000000"/>
          <w:sz w:val="20"/>
          <w:szCs w:val="20"/>
          <w:lang w:val="ru-RU"/>
        </w:rPr>
        <w:t xml:space="preserve">В условиях ограниченности инструментов прямого воздействия государства на инвестиционную политику компаний суть </w:t>
      </w:r>
      <w:r w:rsidRPr="008D2CB0">
        <w:rPr>
          <w:sz w:val="20"/>
          <w:szCs w:val="20"/>
          <w:lang w:val="ru-RU"/>
        </w:rPr>
        <w:t xml:space="preserve">государственной координации инвестиционных намерений компаний добывающих и перерабатывающих углеводородное сырье состоит </w:t>
      </w:r>
      <w:proofErr w:type="gramStart"/>
      <w:r w:rsidRPr="008D2CB0">
        <w:rPr>
          <w:sz w:val="20"/>
          <w:szCs w:val="20"/>
          <w:lang w:val="ru-RU"/>
        </w:rPr>
        <w:t>в</w:t>
      </w:r>
      <w:proofErr w:type="gramEnd"/>
      <w:r w:rsidRPr="008D2CB0">
        <w:rPr>
          <w:sz w:val="20"/>
          <w:szCs w:val="20"/>
          <w:lang w:val="ru-RU"/>
        </w:rPr>
        <w:t xml:space="preserve"> </w:t>
      </w:r>
    </w:p>
    <w:p w:rsidR="008D2CB0" w:rsidRPr="008D2CB0" w:rsidRDefault="008D2CB0" w:rsidP="00802BC2">
      <w:pPr>
        <w:pStyle w:val="a5"/>
        <w:numPr>
          <w:ilvl w:val="0"/>
          <w:numId w:val="2"/>
        </w:numPr>
        <w:ind w:left="0" w:firstLine="709"/>
        <w:jc w:val="both"/>
        <w:rPr>
          <w:sz w:val="20"/>
          <w:szCs w:val="20"/>
          <w:lang w:val="ru-RU"/>
        </w:rPr>
      </w:pPr>
      <w:r w:rsidRPr="008D2CB0">
        <w:rPr>
          <w:sz w:val="20"/>
          <w:szCs w:val="20"/>
          <w:lang w:val="ru-RU"/>
        </w:rPr>
        <w:t>оценке реализуемости стратегии развития нефтегазохимии при тех или иных внешних условиях;</w:t>
      </w:r>
    </w:p>
    <w:p w:rsidR="008D2CB0" w:rsidRPr="008D2CB0" w:rsidRDefault="008D2CB0" w:rsidP="00802BC2">
      <w:pPr>
        <w:pStyle w:val="a5"/>
        <w:numPr>
          <w:ilvl w:val="0"/>
          <w:numId w:val="2"/>
        </w:numPr>
        <w:ind w:left="0" w:firstLine="709"/>
        <w:jc w:val="both"/>
        <w:rPr>
          <w:color w:val="000000"/>
          <w:sz w:val="20"/>
          <w:szCs w:val="20"/>
          <w:lang w:val="ru-RU"/>
        </w:rPr>
      </w:pPr>
      <w:r w:rsidRPr="008D2CB0">
        <w:rPr>
          <w:sz w:val="20"/>
          <w:szCs w:val="20"/>
          <w:lang w:val="ru-RU"/>
        </w:rPr>
        <w:t>коррекции направлений и форм государственного участия в</w:t>
      </w:r>
      <w:r w:rsidRPr="008D2CB0">
        <w:rPr>
          <w:color w:val="00FFFF"/>
          <w:sz w:val="20"/>
          <w:szCs w:val="20"/>
          <w:lang w:val="ru-RU"/>
        </w:rPr>
        <w:t xml:space="preserve"> </w:t>
      </w:r>
      <w:r w:rsidRPr="008D2CB0">
        <w:rPr>
          <w:color w:val="000000"/>
          <w:sz w:val="20"/>
          <w:szCs w:val="20"/>
          <w:lang w:val="ru-RU"/>
        </w:rPr>
        <w:t xml:space="preserve"> формировании </w:t>
      </w:r>
      <w:r w:rsidRPr="008D2CB0">
        <w:rPr>
          <w:sz w:val="20"/>
          <w:szCs w:val="20"/>
          <w:lang w:val="ru-RU"/>
        </w:rPr>
        <w:t>нефтехимических</w:t>
      </w:r>
      <w:r w:rsidRPr="008D2CB0">
        <w:rPr>
          <w:color w:val="000000"/>
          <w:sz w:val="20"/>
          <w:szCs w:val="20"/>
          <w:lang w:val="ru-RU"/>
        </w:rPr>
        <w:t xml:space="preserve"> кластеров. </w:t>
      </w:r>
    </w:p>
    <w:p w:rsidR="008D2CB0" w:rsidRPr="008D2CB0" w:rsidRDefault="008D2CB0" w:rsidP="00802BC2">
      <w:pPr>
        <w:spacing w:after="0" w:line="240" w:lineRule="auto"/>
        <w:ind w:firstLine="709"/>
        <w:jc w:val="both"/>
        <w:rPr>
          <w:rFonts w:ascii="Times New Roman" w:hAnsi="Times New Roman" w:cs="Times New Roman"/>
          <w:bCs/>
          <w:sz w:val="20"/>
          <w:szCs w:val="20"/>
        </w:rPr>
      </w:pPr>
      <w:r w:rsidRPr="008D2CB0">
        <w:rPr>
          <w:rFonts w:ascii="Times New Roman" w:hAnsi="Times New Roman" w:cs="Times New Roman"/>
          <w:sz w:val="20"/>
          <w:szCs w:val="20"/>
        </w:rPr>
        <w:t xml:space="preserve">Совокупность внешних условий и отраслевые стратегии освоения нефтегазовых ресурсов с учетом проектов компаний отражаются в сценариях формирования </w:t>
      </w:r>
      <w:proofErr w:type="spellStart"/>
      <w:r w:rsidRPr="008D2CB0">
        <w:rPr>
          <w:rFonts w:ascii="Times New Roman" w:hAnsi="Times New Roman" w:cs="Times New Roman"/>
          <w:sz w:val="20"/>
          <w:szCs w:val="20"/>
        </w:rPr>
        <w:t>мегапроекта</w:t>
      </w:r>
      <w:proofErr w:type="spellEnd"/>
      <w:r w:rsidRPr="008D2CB0">
        <w:rPr>
          <w:rFonts w:ascii="Times New Roman" w:hAnsi="Times New Roman" w:cs="Times New Roman"/>
          <w:sz w:val="20"/>
          <w:szCs w:val="20"/>
        </w:rPr>
        <w:t xml:space="preserve">. </w:t>
      </w:r>
      <w:proofErr w:type="gramStart"/>
      <w:r w:rsidRPr="008D2CB0">
        <w:rPr>
          <w:rFonts w:ascii="Times New Roman" w:hAnsi="Times New Roman" w:cs="Times New Roman"/>
          <w:sz w:val="20"/>
          <w:szCs w:val="20"/>
        </w:rPr>
        <w:t>С</w:t>
      </w:r>
      <w:r w:rsidRPr="008D2CB0">
        <w:rPr>
          <w:rFonts w:ascii="Times New Roman" w:hAnsi="Times New Roman" w:cs="Times New Roman"/>
          <w:bCs/>
          <w:sz w:val="20"/>
          <w:szCs w:val="20"/>
        </w:rPr>
        <w:t xml:space="preserve">ценарии </w:t>
      </w:r>
      <w:r w:rsidRPr="008D2CB0">
        <w:rPr>
          <w:rFonts w:ascii="Times New Roman" w:hAnsi="Times New Roman" w:cs="Times New Roman"/>
          <w:sz w:val="20"/>
          <w:szCs w:val="20"/>
        </w:rPr>
        <w:t xml:space="preserve">описывают целевые установки, структуру </w:t>
      </w:r>
      <w:proofErr w:type="spellStart"/>
      <w:r w:rsidRPr="008D2CB0">
        <w:rPr>
          <w:rFonts w:ascii="Times New Roman" w:hAnsi="Times New Roman" w:cs="Times New Roman"/>
          <w:sz w:val="20"/>
          <w:szCs w:val="20"/>
        </w:rPr>
        <w:t>мегапроекта</w:t>
      </w:r>
      <w:proofErr w:type="spellEnd"/>
      <w:r w:rsidRPr="008D2CB0">
        <w:rPr>
          <w:rFonts w:ascii="Times New Roman" w:hAnsi="Times New Roman" w:cs="Times New Roman"/>
          <w:sz w:val="20"/>
          <w:szCs w:val="20"/>
        </w:rPr>
        <w:t xml:space="preserve"> </w:t>
      </w:r>
      <w:r w:rsidRPr="008D2CB0">
        <w:rPr>
          <w:rFonts w:ascii="Times New Roman" w:hAnsi="Times New Roman" w:cs="Times New Roman"/>
          <w:bCs/>
          <w:sz w:val="20"/>
          <w:szCs w:val="20"/>
        </w:rPr>
        <w:t>исходя из гипотез социально-экономического развития России и ее регионов, динамик</w:t>
      </w:r>
      <w:r w:rsidR="00802BC2">
        <w:rPr>
          <w:rFonts w:ascii="Times New Roman" w:hAnsi="Times New Roman" w:cs="Times New Roman"/>
          <w:bCs/>
          <w:sz w:val="20"/>
          <w:szCs w:val="20"/>
        </w:rPr>
        <w:t>у</w:t>
      </w:r>
      <w:r w:rsidRPr="008D2CB0">
        <w:rPr>
          <w:rFonts w:ascii="Times New Roman" w:hAnsi="Times New Roman" w:cs="Times New Roman"/>
          <w:bCs/>
          <w:sz w:val="20"/>
          <w:szCs w:val="20"/>
        </w:rPr>
        <w:t xml:space="preserve"> </w:t>
      </w:r>
      <w:r w:rsidRPr="008D2CB0">
        <w:rPr>
          <w:rFonts w:ascii="Times New Roman" w:hAnsi="Times New Roman" w:cs="Times New Roman"/>
          <w:sz w:val="20"/>
          <w:szCs w:val="20"/>
        </w:rPr>
        <w:t>геополитических факторов</w:t>
      </w:r>
      <w:r w:rsidRPr="008D2CB0">
        <w:rPr>
          <w:rFonts w:ascii="Times New Roman" w:hAnsi="Times New Roman" w:cs="Times New Roman"/>
          <w:bCs/>
          <w:sz w:val="20"/>
          <w:szCs w:val="20"/>
        </w:rPr>
        <w:t>, тенденций конъюнктуры на внешнем и внутреннем рынках.</w:t>
      </w:r>
      <w:proofErr w:type="gramEnd"/>
    </w:p>
    <w:p w:rsidR="008D2CB0" w:rsidRPr="008D2CB0" w:rsidRDefault="008D2CB0" w:rsidP="008D2CB0">
      <w:pPr>
        <w:spacing w:after="0" w:line="240" w:lineRule="auto"/>
        <w:ind w:firstLine="709"/>
        <w:jc w:val="both"/>
        <w:rPr>
          <w:rFonts w:ascii="Times New Roman" w:hAnsi="Times New Roman" w:cs="Times New Roman"/>
          <w:sz w:val="20"/>
          <w:szCs w:val="20"/>
        </w:rPr>
      </w:pPr>
      <w:r w:rsidRPr="008D2CB0">
        <w:rPr>
          <w:rFonts w:ascii="Times New Roman" w:hAnsi="Times New Roman" w:cs="Times New Roman"/>
          <w:sz w:val="20"/>
          <w:szCs w:val="20"/>
        </w:rPr>
        <w:t xml:space="preserve">Оценка реализуемости стратегии </w:t>
      </w:r>
      <w:proofErr w:type="spellStart"/>
      <w:r w:rsidRPr="008D2CB0">
        <w:rPr>
          <w:rFonts w:ascii="Times New Roman" w:hAnsi="Times New Roman" w:cs="Times New Roman"/>
          <w:sz w:val="20"/>
          <w:szCs w:val="20"/>
        </w:rPr>
        <w:t>мегапроекта</w:t>
      </w:r>
      <w:proofErr w:type="spellEnd"/>
      <w:r w:rsidRPr="008D2CB0">
        <w:rPr>
          <w:rFonts w:ascii="Times New Roman" w:hAnsi="Times New Roman" w:cs="Times New Roman"/>
          <w:sz w:val="20"/>
          <w:szCs w:val="20"/>
        </w:rPr>
        <w:t xml:space="preserve"> представляет собой решение следующей совокупности задач: </w:t>
      </w:r>
    </w:p>
    <w:p w:rsidR="008D2CB0" w:rsidRPr="008D2CB0" w:rsidRDefault="008D2CB0" w:rsidP="008D2CB0">
      <w:pPr>
        <w:spacing w:after="0" w:line="240" w:lineRule="auto"/>
        <w:ind w:firstLine="709"/>
        <w:jc w:val="both"/>
        <w:rPr>
          <w:rFonts w:ascii="Times New Roman" w:hAnsi="Times New Roman" w:cs="Times New Roman"/>
          <w:b/>
          <w:sz w:val="20"/>
          <w:szCs w:val="20"/>
        </w:rPr>
      </w:pPr>
      <w:r w:rsidRPr="008D2CB0">
        <w:rPr>
          <w:rFonts w:ascii="Times New Roman" w:hAnsi="Times New Roman" w:cs="Times New Roman"/>
          <w:sz w:val="20"/>
          <w:szCs w:val="20"/>
        </w:rPr>
        <w:t>- оценка согласованности во времени стратегических интересов государства, сырьевых и перерабатывающих компаний;</w:t>
      </w:r>
    </w:p>
    <w:p w:rsidR="008D2CB0" w:rsidRPr="008D2CB0" w:rsidRDefault="008D2CB0" w:rsidP="008D2CB0">
      <w:pPr>
        <w:spacing w:after="0" w:line="240" w:lineRule="auto"/>
        <w:ind w:firstLine="709"/>
        <w:jc w:val="both"/>
        <w:rPr>
          <w:rFonts w:ascii="Times New Roman" w:hAnsi="Times New Roman" w:cs="Times New Roman"/>
          <w:sz w:val="20"/>
          <w:szCs w:val="20"/>
        </w:rPr>
      </w:pPr>
      <w:r w:rsidRPr="008D2CB0">
        <w:rPr>
          <w:rFonts w:ascii="Times New Roman" w:hAnsi="Times New Roman" w:cs="Times New Roman"/>
          <w:sz w:val="20"/>
          <w:szCs w:val="20"/>
        </w:rPr>
        <w:t xml:space="preserve">- рациональность эшелонирования во времени проектов компаний с точки зрения достижения целей </w:t>
      </w:r>
      <w:proofErr w:type="spellStart"/>
      <w:r w:rsidRPr="008D2CB0">
        <w:rPr>
          <w:rFonts w:ascii="Times New Roman" w:hAnsi="Times New Roman" w:cs="Times New Roman"/>
          <w:sz w:val="20"/>
          <w:szCs w:val="20"/>
        </w:rPr>
        <w:t>мегапроекта</w:t>
      </w:r>
      <w:proofErr w:type="spellEnd"/>
      <w:r w:rsidRPr="008D2CB0">
        <w:rPr>
          <w:rFonts w:ascii="Times New Roman" w:hAnsi="Times New Roman" w:cs="Times New Roman"/>
          <w:sz w:val="20"/>
          <w:szCs w:val="20"/>
        </w:rPr>
        <w:t>;</w:t>
      </w:r>
    </w:p>
    <w:p w:rsidR="008D2CB0" w:rsidRPr="008D2CB0" w:rsidRDefault="008D2CB0" w:rsidP="008D2CB0">
      <w:pPr>
        <w:spacing w:after="0" w:line="240" w:lineRule="auto"/>
        <w:ind w:firstLine="709"/>
        <w:jc w:val="both"/>
        <w:rPr>
          <w:rFonts w:ascii="Times New Roman" w:hAnsi="Times New Roman" w:cs="Times New Roman"/>
          <w:sz w:val="20"/>
          <w:szCs w:val="20"/>
        </w:rPr>
      </w:pPr>
      <w:r w:rsidRPr="008D2CB0">
        <w:rPr>
          <w:rFonts w:ascii="Times New Roman" w:hAnsi="Times New Roman" w:cs="Times New Roman"/>
          <w:sz w:val="20"/>
          <w:szCs w:val="20"/>
        </w:rPr>
        <w:t xml:space="preserve">- оценка собственных финансовых ресурсов и потребности в заемных средствах проектов, - выявление проблемных проектов, требующих государственной поддержки; </w:t>
      </w:r>
    </w:p>
    <w:p w:rsidR="008D2CB0" w:rsidRPr="008D2CB0" w:rsidRDefault="008D2CB0" w:rsidP="008D2CB0">
      <w:pPr>
        <w:spacing w:after="0" w:line="240" w:lineRule="auto"/>
        <w:ind w:firstLine="709"/>
        <w:jc w:val="both"/>
        <w:rPr>
          <w:rFonts w:ascii="Times New Roman" w:hAnsi="Times New Roman" w:cs="Times New Roman"/>
          <w:sz w:val="20"/>
          <w:szCs w:val="20"/>
        </w:rPr>
      </w:pPr>
      <w:r w:rsidRPr="008D2CB0">
        <w:rPr>
          <w:rFonts w:ascii="Times New Roman" w:hAnsi="Times New Roman" w:cs="Times New Roman"/>
          <w:sz w:val="20"/>
          <w:szCs w:val="20"/>
        </w:rPr>
        <w:t>- выбор возможных вариантов интеграции и консолидации финансовых ресурсов компаний;</w:t>
      </w:r>
    </w:p>
    <w:p w:rsidR="008D2CB0" w:rsidRPr="008D2CB0" w:rsidRDefault="008D2CB0" w:rsidP="008D2CB0">
      <w:pPr>
        <w:spacing w:after="0" w:line="240" w:lineRule="auto"/>
        <w:ind w:firstLine="709"/>
        <w:jc w:val="both"/>
        <w:rPr>
          <w:rFonts w:ascii="Times New Roman" w:hAnsi="Times New Roman" w:cs="Times New Roman"/>
          <w:sz w:val="20"/>
          <w:szCs w:val="20"/>
        </w:rPr>
      </w:pPr>
      <w:r w:rsidRPr="008D2CB0">
        <w:rPr>
          <w:rFonts w:ascii="Times New Roman" w:hAnsi="Times New Roman" w:cs="Times New Roman"/>
          <w:sz w:val="20"/>
          <w:szCs w:val="20"/>
        </w:rPr>
        <w:t xml:space="preserve">- разработка предложений по предоставлению целевых государственных преференций  компаниям – участникам </w:t>
      </w:r>
      <w:proofErr w:type="spellStart"/>
      <w:r w:rsidRPr="008D2CB0">
        <w:rPr>
          <w:rFonts w:ascii="Times New Roman" w:hAnsi="Times New Roman" w:cs="Times New Roman"/>
          <w:sz w:val="20"/>
          <w:szCs w:val="20"/>
        </w:rPr>
        <w:t>мегапроекта</w:t>
      </w:r>
      <w:proofErr w:type="spellEnd"/>
      <w:r w:rsidRPr="008D2CB0">
        <w:rPr>
          <w:rFonts w:ascii="Times New Roman" w:hAnsi="Times New Roman" w:cs="Times New Roman"/>
          <w:sz w:val="20"/>
          <w:szCs w:val="20"/>
        </w:rPr>
        <w:t>;</w:t>
      </w:r>
    </w:p>
    <w:p w:rsidR="008D2CB0" w:rsidRPr="008D2CB0" w:rsidRDefault="008D2CB0" w:rsidP="008D2CB0">
      <w:pPr>
        <w:spacing w:after="0" w:line="240" w:lineRule="auto"/>
        <w:ind w:firstLine="709"/>
        <w:jc w:val="both"/>
        <w:rPr>
          <w:rFonts w:ascii="Times New Roman" w:hAnsi="Times New Roman" w:cs="Times New Roman"/>
          <w:sz w:val="20"/>
          <w:szCs w:val="20"/>
        </w:rPr>
      </w:pPr>
      <w:r w:rsidRPr="008D2CB0">
        <w:rPr>
          <w:rFonts w:ascii="Times New Roman" w:hAnsi="Times New Roman" w:cs="Times New Roman"/>
          <w:sz w:val="20"/>
          <w:szCs w:val="20"/>
        </w:rPr>
        <w:t xml:space="preserve">- определение направлений государственной координации инвестиционных решений компаний при реализации </w:t>
      </w:r>
      <w:proofErr w:type="spellStart"/>
      <w:r w:rsidRPr="008D2CB0">
        <w:rPr>
          <w:rFonts w:ascii="Times New Roman" w:hAnsi="Times New Roman" w:cs="Times New Roman"/>
          <w:sz w:val="20"/>
          <w:szCs w:val="20"/>
        </w:rPr>
        <w:t>мегапроекта</w:t>
      </w:r>
      <w:proofErr w:type="spellEnd"/>
    </w:p>
    <w:p w:rsidR="008D2CB0" w:rsidRPr="008D2CB0" w:rsidRDefault="008D2CB0" w:rsidP="008D2CB0">
      <w:pPr>
        <w:spacing w:after="0" w:line="240" w:lineRule="auto"/>
        <w:ind w:firstLine="709"/>
        <w:jc w:val="both"/>
        <w:rPr>
          <w:rFonts w:ascii="Times New Roman" w:hAnsi="Times New Roman" w:cs="Times New Roman"/>
          <w:sz w:val="20"/>
          <w:szCs w:val="20"/>
        </w:rPr>
      </w:pPr>
      <w:r w:rsidRPr="008D2CB0">
        <w:rPr>
          <w:rFonts w:ascii="Times New Roman" w:hAnsi="Times New Roman" w:cs="Times New Roman"/>
          <w:sz w:val="20"/>
          <w:szCs w:val="20"/>
        </w:rPr>
        <w:t xml:space="preserve">- разработка </w:t>
      </w:r>
      <w:proofErr w:type="gramStart"/>
      <w:r w:rsidRPr="008D2CB0">
        <w:rPr>
          <w:rFonts w:ascii="Times New Roman" w:hAnsi="Times New Roman" w:cs="Times New Roman"/>
          <w:sz w:val="20"/>
          <w:szCs w:val="20"/>
        </w:rPr>
        <w:t>вариантов стимулирования интеграции финансовых ресурсов компаний</w:t>
      </w:r>
      <w:proofErr w:type="gramEnd"/>
      <w:r w:rsidRPr="008D2CB0">
        <w:rPr>
          <w:rFonts w:ascii="Times New Roman" w:hAnsi="Times New Roman" w:cs="Times New Roman"/>
          <w:sz w:val="20"/>
          <w:szCs w:val="20"/>
        </w:rPr>
        <w:t xml:space="preserve"> для проблемных проектов.</w:t>
      </w:r>
    </w:p>
    <w:p w:rsidR="008D2CB0" w:rsidRPr="008D2CB0" w:rsidRDefault="008D2CB0" w:rsidP="008D2CB0">
      <w:pPr>
        <w:pStyle w:val="a6"/>
        <w:spacing w:after="0"/>
        <w:ind w:left="0" w:firstLine="709"/>
        <w:jc w:val="both"/>
        <w:rPr>
          <w:bCs/>
          <w:sz w:val="20"/>
          <w:szCs w:val="20"/>
        </w:rPr>
      </w:pPr>
      <w:r w:rsidRPr="008D2CB0">
        <w:rPr>
          <w:bCs/>
          <w:sz w:val="20"/>
          <w:szCs w:val="20"/>
        </w:rPr>
        <w:t xml:space="preserve">Процедура согласования </w:t>
      </w:r>
      <w:r w:rsidRPr="008D2CB0">
        <w:rPr>
          <w:sz w:val="20"/>
          <w:szCs w:val="20"/>
        </w:rPr>
        <w:t xml:space="preserve">стратегических интересов и инвестиционных намерений государства и компаний </w:t>
      </w:r>
      <w:r w:rsidRPr="008D2CB0">
        <w:rPr>
          <w:bCs/>
          <w:sz w:val="20"/>
          <w:szCs w:val="20"/>
        </w:rPr>
        <w:t xml:space="preserve">является многошаговой. Разработка механизмов государственного регулирования </w:t>
      </w:r>
      <w:proofErr w:type="spellStart"/>
      <w:r w:rsidRPr="008D2CB0">
        <w:rPr>
          <w:bCs/>
          <w:sz w:val="20"/>
          <w:szCs w:val="20"/>
        </w:rPr>
        <w:t>мегапроекта</w:t>
      </w:r>
      <w:proofErr w:type="spellEnd"/>
      <w:r w:rsidRPr="008D2CB0">
        <w:rPr>
          <w:bCs/>
          <w:sz w:val="20"/>
          <w:szCs w:val="20"/>
        </w:rPr>
        <w:t xml:space="preserve"> основана на анализе денежных потоков участников </w:t>
      </w:r>
      <w:proofErr w:type="spellStart"/>
      <w:r w:rsidRPr="008D2CB0">
        <w:rPr>
          <w:bCs/>
          <w:sz w:val="20"/>
          <w:szCs w:val="20"/>
        </w:rPr>
        <w:t>мегапроекта</w:t>
      </w:r>
      <w:proofErr w:type="spellEnd"/>
      <w:r w:rsidRPr="008D2CB0">
        <w:rPr>
          <w:bCs/>
          <w:sz w:val="20"/>
          <w:szCs w:val="20"/>
        </w:rPr>
        <w:t xml:space="preserve"> при реализации календарных планов инвестиционной программы ВСНГК и оценке выгод государства и компаний при различных вариантах государственной поддержки инвестиционных проектов участников с позиций стратегических интересов государства и бизнеса в </w:t>
      </w:r>
      <w:proofErr w:type="spellStart"/>
      <w:r w:rsidRPr="008D2CB0">
        <w:rPr>
          <w:bCs/>
          <w:sz w:val="20"/>
          <w:szCs w:val="20"/>
        </w:rPr>
        <w:t>мегапроекте</w:t>
      </w:r>
      <w:proofErr w:type="spellEnd"/>
      <w:r w:rsidRPr="008D2CB0">
        <w:rPr>
          <w:bCs/>
          <w:sz w:val="20"/>
          <w:szCs w:val="20"/>
        </w:rPr>
        <w:t xml:space="preserve">.  </w:t>
      </w:r>
    </w:p>
    <w:p w:rsidR="008D2CB0" w:rsidRPr="008D2CB0" w:rsidRDefault="008D2CB0" w:rsidP="008D2CB0">
      <w:pPr>
        <w:spacing w:after="0" w:line="240" w:lineRule="auto"/>
        <w:ind w:firstLine="709"/>
        <w:jc w:val="both"/>
        <w:rPr>
          <w:rFonts w:ascii="Times New Roman" w:hAnsi="Times New Roman" w:cs="Times New Roman"/>
          <w:bCs/>
          <w:sz w:val="20"/>
          <w:szCs w:val="20"/>
        </w:rPr>
      </w:pPr>
      <w:r w:rsidRPr="008D2CB0">
        <w:rPr>
          <w:rFonts w:ascii="Times New Roman" w:hAnsi="Times New Roman" w:cs="Times New Roman"/>
          <w:bCs/>
          <w:sz w:val="20"/>
          <w:szCs w:val="20"/>
        </w:rPr>
        <w:t xml:space="preserve">На первом этапе проводится анализ возможностей самофинансирования проектов нефтегазохимических компаний. Оцениваются различные варианты государственных преференций для проектов </w:t>
      </w:r>
      <w:proofErr w:type="spellStart"/>
      <w:r w:rsidRPr="008D2CB0">
        <w:rPr>
          <w:rFonts w:ascii="Times New Roman" w:hAnsi="Times New Roman" w:cs="Times New Roman"/>
          <w:bCs/>
          <w:sz w:val="20"/>
          <w:szCs w:val="20"/>
        </w:rPr>
        <w:t>нефте-газохимических</w:t>
      </w:r>
      <w:proofErr w:type="spellEnd"/>
      <w:r w:rsidRPr="008D2CB0">
        <w:rPr>
          <w:rFonts w:ascii="Times New Roman" w:hAnsi="Times New Roman" w:cs="Times New Roman"/>
          <w:bCs/>
          <w:sz w:val="20"/>
          <w:szCs w:val="20"/>
        </w:rPr>
        <w:t xml:space="preserve"> кластеров: налоговые каникулы, отмена экспортных пошлин, </w:t>
      </w:r>
      <w:r w:rsidRPr="008D2CB0">
        <w:rPr>
          <w:rFonts w:ascii="Times New Roman" w:hAnsi="Times New Roman" w:cs="Times New Roman"/>
          <w:sz w:val="20"/>
          <w:szCs w:val="20"/>
        </w:rPr>
        <w:t>льготные налоговые и инвестиционные режимы для реализации проектов.</w:t>
      </w:r>
      <w:r w:rsidRPr="008D2CB0">
        <w:rPr>
          <w:rFonts w:ascii="Times New Roman" w:hAnsi="Times New Roman" w:cs="Times New Roman"/>
          <w:bCs/>
          <w:sz w:val="20"/>
          <w:szCs w:val="20"/>
        </w:rPr>
        <w:t xml:space="preserve"> </w:t>
      </w:r>
    </w:p>
    <w:p w:rsidR="00971FF1" w:rsidRPr="007E4650" w:rsidRDefault="008D2CB0" w:rsidP="00971FF1">
      <w:pPr>
        <w:spacing w:after="0" w:line="240" w:lineRule="auto"/>
        <w:ind w:firstLine="709"/>
        <w:jc w:val="both"/>
        <w:rPr>
          <w:rFonts w:ascii="Times New Roman" w:hAnsi="Times New Roman" w:cs="Times New Roman"/>
          <w:sz w:val="20"/>
          <w:szCs w:val="20"/>
        </w:rPr>
      </w:pPr>
      <w:r w:rsidRPr="008D2CB0">
        <w:rPr>
          <w:rFonts w:ascii="Times New Roman" w:hAnsi="Times New Roman" w:cs="Times New Roman"/>
          <w:sz w:val="20"/>
          <w:szCs w:val="20"/>
        </w:rPr>
        <w:t xml:space="preserve">На втором этапе разрабатываются механизмы государственного стимулирования интеграции финансовых ресурсов участников для реализации инвестиционной программы </w:t>
      </w:r>
      <w:proofErr w:type="spellStart"/>
      <w:r w:rsidRPr="008D2CB0">
        <w:rPr>
          <w:rFonts w:ascii="Times New Roman" w:hAnsi="Times New Roman" w:cs="Times New Roman"/>
          <w:sz w:val="20"/>
          <w:szCs w:val="20"/>
        </w:rPr>
        <w:t>мегапроекта</w:t>
      </w:r>
      <w:proofErr w:type="spellEnd"/>
      <w:r w:rsidRPr="008D2CB0">
        <w:rPr>
          <w:rFonts w:ascii="Times New Roman" w:hAnsi="Times New Roman" w:cs="Times New Roman"/>
          <w:sz w:val="20"/>
          <w:szCs w:val="20"/>
        </w:rPr>
        <w:t xml:space="preserve"> в заданные сроки. Выявляются институциональные барьеры для перелива капитала из добывающего сектора в нефтегазохимический и разрабатываются варианты формирования благоприятных условий для реинвестирования относительно свободных финансовых ресурсов, прибылей добывающих компаний в другие отраслевые проекты. </w:t>
      </w:r>
      <w:r w:rsidR="00971FF1" w:rsidRPr="008D2CB0">
        <w:rPr>
          <w:rFonts w:ascii="Times New Roman" w:hAnsi="Times New Roman" w:cs="Times New Roman"/>
          <w:sz w:val="20"/>
          <w:szCs w:val="20"/>
        </w:rPr>
        <w:t xml:space="preserve">Необходимым условием перелива капитала из добывающего сектора в </w:t>
      </w:r>
      <w:proofErr w:type="gramStart"/>
      <w:r w:rsidR="00971FF1" w:rsidRPr="008D2CB0">
        <w:rPr>
          <w:rFonts w:ascii="Times New Roman" w:hAnsi="Times New Roman" w:cs="Times New Roman"/>
          <w:sz w:val="20"/>
          <w:szCs w:val="20"/>
        </w:rPr>
        <w:t>перерабатывающий</w:t>
      </w:r>
      <w:proofErr w:type="gramEnd"/>
      <w:r w:rsidR="00971FF1" w:rsidRPr="008D2CB0">
        <w:rPr>
          <w:rFonts w:ascii="Times New Roman" w:hAnsi="Times New Roman" w:cs="Times New Roman"/>
          <w:sz w:val="20"/>
          <w:szCs w:val="20"/>
        </w:rPr>
        <w:t xml:space="preserve"> является равная коммерческая эффективность проектов.</w:t>
      </w:r>
    </w:p>
    <w:p w:rsidR="007E4650" w:rsidRPr="007E4650" w:rsidRDefault="008D2CB0" w:rsidP="007E4650">
      <w:pPr>
        <w:spacing w:after="0" w:line="240" w:lineRule="auto"/>
        <w:ind w:firstLine="709"/>
        <w:jc w:val="both"/>
        <w:rPr>
          <w:rFonts w:ascii="Times New Roman" w:hAnsi="Times New Roman" w:cs="Times New Roman"/>
          <w:sz w:val="20"/>
          <w:szCs w:val="20"/>
        </w:rPr>
      </w:pPr>
      <w:r w:rsidRPr="008D2CB0">
        <w:rPr>
          <w:rFonts w:ascii="Times New Roman" w:hAnsi="Times New Roman" w:cs="Times New Roman"/>
          <w:sz w:val="20"/>
          <w:szCs w:val="20"/>
        </w:rPr>
        <w:t xml:space="preserve">В результате многошаговых процедур согласования управленческих решений государства, инвестиционных намерений и деятельности всех участников формируется эффективная стратегия </w:t>
      </w:r>
      <w:proofErr w:type="spellStart"/>
      <w:r w:rsidRPr="008D2CB0">
        <w:rPr>
          <w:rFonts w:ascii="Times New Roman" w:hAnsi="Times New Roman" w:cs="Times New Roman"/>
          <w:sz w:val="20"/>
          <w:szCs w:val="20"/>
        </w:rPr>
        <w:t>мегапроекта</w:t>
      </w:r>
      <w:proofErr w:type="spellEnd"/>
      <w:r w:rsidRPr="008D2CB0">
        <w:rPr>
          <w:rFonts w:ascii="Times New Roman" w:hAnsi="Times New Roman" w:cs="Times New Roman"/>
          <w:sz w:val="20"/>
          <w:szCs w:val="20"/>
        </w:rPr>
        <w:t xml:space="preserve"> и механизмы государственной поддержки </w:t>
      </w:r>
      <w:proofErr w:type="spellStart"/>
      <w:r w:rsidRPr="008D2CB0">
        <w:rPr>
          <w:rFonts w:ascii="Times New Roman" w:hAnsi="Times New Roman" w:cs="Times New Roman"/>
          <w:sz w:val="20"/>
          <w:szCs w:val="20"/>
        </w:rPr>
        <w:t>мегапроектам</w:t>
      </w:r>
      <w:proofErr w:type="spellEnd"/>
      <w:r w:rsidRPr="008D2CB0">
        <w:rPr>
          <w:rFonts w:ascii="Times New Roman" w:hAnsi="Times New Roman" w:cs="Times New Roman"/>
          <w:sz w:val="20"/>
          <w:szCs w:val="20"/>
        </w:rPr>
        <w:t xml:space="preserve"> на отдельных этапах его реализации.</w:t>
      </w:r>
      <w:r w:rsidR="007E4650" w:rsidRPr="007E4650">
        <w:rPr>
          <w:rFonts w:ascii="Times New Roman" w:hAnsi="Times New Roman" w:cs="Times New Roman"/>
          <w:sz w:val="20"/>
          <w:szCs w:val="20"/>
        </w:rPr>
        <w:t xml:space="preserve"> Структура и масштабы государственных преференций для компаний </w:t>
      </w:r>
      <w:proofErr w:type="spellStart"/>
      <w:r w:rsidR="007E4650" w:rsidRPr="007E4650">
        <w:rPr>
          <w:rFonts w:ascii="Times New Roman" w:hAnsi="Times New Roman" w:cs="Times New Roman"/>
          <w:sz w:val="20"/>
          <w:szCs w:val="20"/>
        </w:rPr>
        <w:t>мегапроекта</w:t>
      </w:r>
      <w:proofErr w:type="spellEnd"/>
      <w:r w:rsidR="007E4650" w:rsidRPr="007E4650">
        <w:rPr>
          <w:rFonts w:ascii="Times New Roman" w:hAnsi="Times New Roman" w:cs="Times New Roman"/>
          <w:sz w:val="20"/>
          <w:szCs w:val="20"/>
        </w:rPr>
        <w:t xml:space="preserve"> определяются на основе анализа показателей финансово-экономической оценки проектов компаний. Оцениваются выгоды предлагаемых форм и </w:t>
      </w:r>
      <w:r w:rsidR="007E4650" w:rsidRPr="007E4650">
        <w:rPr>
          <w:rFonts w:ascii="Times New Roman" w:hAnsi="Times New Roman" w:cs="Times New Roman"/>
          <w:sz w:val="20"/>
          <w:szCs w:val="20"/>
        </w:rPr>
        <w:lastRenderedPageBreak/>
        <w:t xml:space="preserve">условий финансовой интеграции как для проблемных проектов сырьевых и перерабатывающих отраслей, так и для их потенциальных инвесторов. Проекты, не попавшие в базовую совокупность, становятся объектами диалога координирующего органа с компаниями и регионами по поводу изменения институциональных условий. </w:t>
      </w:r>
    </w:p>
    <w:p w:rsidR="00971FF1" w:rsidRPr="008D2CB0" w:rsidRDefault="008D2CB0" w:rsidP="00971FF1">
      <w:pPr>
        <w:spacing w:after="0" w:line="240" w:lineRule="auto"/>
        <w:ind w:firstLine="709"/>
        <w:jc w:val="both"/>
        <w:rPr>
          <w:rFonts w:ascii="Times New Roman" w:hAnsi="Times New Roman" w:cs="Times New Roman"/>
          <w:bCs/>
          <w:sz w:val="20"/>
          <w:szCs w:val="20"/>
        </w:rPr>
      </w:pPr>
      <w:r w:rsidRPr="003E3E45">
        <w:rPr>
          <w:rFonts w:ascii="Times New Roman" w:hAnsi="Times New Roman" w:cs="Times New Roman"/>
          <w:b/>
          <w:sz w:val="20"/>
          <w:szCs w:val="20"/>
        </w:rPr>
        <w:t xml:space="preserve">Схема координации планов участников </w:t>
      </w:r>
      <w:proofErr w:type="spellStart"/>
      <w:r w:rsidRPr="003E3E45">
        <w:rPr>
          <w:rFonts w:ascii="Times New Roman" w:hAnsi="Times New Roman" w:cs="Times New Roman"/>
          <w:b/>
          <w:sz w:val="20"/>
          <w:szCs w:val="20"/>
        </w:rPr>
        <w:t>мегапроекта</w:t>
      </w:r>
      <w:proofErr w:type="spellEnd"/>
      <w:r w:rsidRPr="008D2CB0">
        <w:rPr>
          <w:rFonts w:ascii="Times New Roman" w:hAnsi="Times New Roman" w:cs="Times New Roman"/>
          <w:sz w:val="20"/>
          <w:szCs w:val="20"/>
        </w:rPr>
        <w:t xml:space="preserve"> апробирована при оценке реализуемости формирования нефтегазохимических кластеров Государственного плана </w:t>
      </w:r>
      <w:r w:rsidRPr="008D2CB0">
        <w:rPr>
          <w:rFonts w:ascii="Times New Roman" w:hAnsi="Times New Roman" w:cs="Times New Roman"/>
          <w:bCs/>
          <w:sz w:val="20"/>
          <w:szCs w:val="20"/>
        </w:rPr>
        <w:t xml:space="preserve">развития </w:t>
      </w:r>
      <w:proofErr w:type="gramStart"/>
      <w:r w:rsidRPr="008D2CB0">
        <w:rPr>
          <w:rFonts w:ascii="Times New Roman" w:hAnsi="Times New Roman" w:cs="Times New Roman"/>
          <w:bCs/>
          <w:sz w:val="20"/>
          <w:szCs w:val="20"/>
        </w:rPr>
        <w:t>газо-нефтехимии</w:t>
      </w:r>
      <w:proofErr w:type="gramEnd"/>
      <w:r w:rsidRPr="008D2CB0">
        <w:rPr>
          <w:rFonts w:ascii="Times New Roman" w:hAnsi="Times New Roman" w:cs="Times New Roman"/>
          <w:bCs/>
          <w:sz w:val="20"/>
          <w:szCs w:val="20"/>
        </w:rPr>
        <w:t xml:space="preserve"> на Востоке России на период до </w:t>
      </w:r>
      <w:smartTag w:uri="urn:schemas-microsoft-com:office:smarttags" w:element="metricconverter">
        <w:smartTagPr>
          <w:attr w:name="ProductID" w:val="2030 г"/>
        </w:smartTagPr>
        <w:r w:rsidRPr="008D2CB0">
          <w:rPr>
            <w:rFonts w:ascii="Times New Roman" w:hAnsi="Times New Roman" w:cs="Times New Roman"/>
            <w:bCs/>
            <w:sz w:val="20"/>
            <w:szCs w:val="20"/>
          </w:rPr>
          <w:t>2030 г</w:t>
        </w:r>
      </w:smartTag>
      <w:r w:rsidRPr="008D2CB0">
        <w:rPr>
          <w:rFonts w:ascii="Times New Roman" w:hAnsi="Times New Roman" w:cs="Times New Roman"/>
          <w:bCs/>
          <w:sz w:val="20"/>
          <w:szCs w:val="20"/>
        </w:rPr>
        <w:t>.</w:t>
      </w:r>
      <w:r w:rsidRPr="008D2CB0">
        <w:rPr>
          <w:rFonts w:ascii="Times New Roman" w:hAnsi="Times New Roman" w:cs="Times New Roman"/>
          <w:sz w:val="20"/>
          <w:szCs w:val="20"/>
        </w:rPr>
        <w:t xml:space="preserve"> </w:t>
      </w:r>
      <w:r w:rsidR="00971FF1" w:rsidRPr="008D2CB0">
        <w:rPr>
          <w:rFonts w:ascii="Times New Roman" w:hAnsi="Times New Roman" w:cs="Times New Roman"/>
          <w:sz w:val="20"/>
          <w:szCs w:val="20"/>
        </w:rPr>
        <w:t xml:space="preserve">Подтягивание индикаторов коммерческой эффективности газо-нефтехимических проектов до уровня добывающих отраслей. </w:t>
      </w:r>
    </w:p>
    <w:p w:rsidR="00A66D28" w:rsidRDefault="00A66D28" w:rsidP="00A66D28">
      <w:pPr>
        <w:spacing w:after="0" w:line="240" w:lineRule="auto"/>
        <w:ind w:firstLine="709"/>
        <w:jc w:val="both"/>
        <w:rPr>
          <w:rFonts w:ascii="Times New Roman" w:hAnsi="Times New Roman" w:cs="Times New Roman"/>
          <w:sz w:val="20"/>
          <w:szCs w:val="20"/>
        </w:rPr>
      </w:pPr>
      <w:r w:rsidRPr="003E3E45">
        <w:rPr>
          <w:rFonts w:ascii="Times New Roman" w:hAnsi="Times New Roman" w:cs="Times New Roman"/>
          <w:i/>
          <w:sz w:val="20"/>
          <w:szCs w:val="20"/>
        </w:rPr>
        <w:t xml:space="preserve">Ресурсно-календарный анализ согласованности инвестиционных планов добывающего и перерабатывающего секторов в </w:t>
      </w:r>
      <w:proofErr w:type="spellStart"/>
      <w:r w:rsidRPr="003E3E45">
        <w:rPr>
          <w:rFonts w:ascii="Times New Roman" w:hAnsi="Times New Roman" w:cs="Times New Roman"/>
          <w:i/>
          <w:sz w:val="20"/>
          <w:szCs w:val="20"/>
        </w:rPr>
        <w:t>мегапроекте</w:t>
      </w:r>
      <w:proofErr w:type="spellEnd"/>
      <w:r w:rsidRPr="003E3E45">
        <w:rPr>
          <w:rFonts w:ascii="Times New Roman" w:hAnsi="Times New Roman" w:cs="Times New Roman"/>
          <w:i/>
          <w:sz w:val="20"/>
          <w:szCs w:val="20"/>
        </w:rPr>
        <w:t xml:space="preserve"> ВСНГК. </w:t>
      </w:r>
      <w:proofErr w:type="gramStart"/>
      <w:r w:rsidRPr="00CA2F4B">
        <w:rPr>
          <w:rFonts w:ascii="Times New Roman" w:hAnsi="Times New Roman" w:cs="Times New Roman"/>
          <w:sz w:val="20"/>
          <w:szCs w:val="20"/>
        </w:rPr>
        <w:t xml:space="preserve">На основе вариантных расчетов эшелонирования инвестиционных проектов нефтедобывающего и газодобывающего сектора в Красноярском крае, Иркутской области и Якутии оценены стратегии развертывания во времени инвестиционных проектов компаний, обеспечивающие в динамике балансы производства и потребления углеводородного сырья в течение всего прогнозного периода до 2030 гг. Стратегия формирования </w:t>
      </w:r>
      <w:proofErr w:type="spellStart"/>
      <w:r w:rsidRPr="00CA2F4B">
        <w:rPr>
          <w:rFonts w:ascii="Times New Roman" w:hAnsi="Times New Roman" w:cs="Times New Roman"/>
          <w:sz w:val="20"/>
          <w:szCs w:val="20"/>
        </w:rPr>
        <w:t>мегапроекта</w:t>
      </w:r>
      <w:proofErr w:type="spellEnd"/>
      <w:r w:rsidRPr="00CA2F4B">
        <w:rPr>
          <w:rFonts w:ascii="Times New Roman" w:hAnsi="Times New Roman" w:cs="Times New Roman"/>
          <w:sz w:val="20"/>
          <w:szCs w:val="20"/>
        </w:rPr>
        <w:t xml:space="preserve"> ВСНГК определена как календарный план развертывания инвестиционной программы в период до </w:t>
      </w:r>
      <w:smartTag w:uri="urn:schemas-microsoft-com:office:smarttags" w:element="metricconverter">
        <w:smartTagPr>
          <w:attr w:name="ProductID" w:val="2030 г"/>
        </w:smartTagPr>
        <w:r w:rsidRPr="00CA2F4B">
          <w:rPr>
            <w:rFonts w:ascii="Times New Roman" w:hAnsi="Times New Roman" w:cs="Times New Roman"/>
            <w:sz w:val="20"/>
            <w:szCs w:val="20"/>
          </w:rPr>
          <w:t>2030 г</w:t>
        </w:r>
      </w:smartTag>
      <w:r w:rsidRPr="00CA2F4B">
        <w:rPr>
          <w:rFonts w:ascii="Times New Roman" w:hAnsi="Times New Roman" w:cs="Times New Roman"/>
          <w:sz w:val="20"/>
          <w:szCs w:val="20"/>
        </w:rPr>
        <w:t>. при</w:t>
      </w:r>
      <w:proofErr w:type="gramEnd"/>
      <w:r w:rsidRPr="00CA2F4B">
        <w:rPr>
          <w:rFonts w:ascii="Times New Roman" w:hAnsi="Times New Roman" w:cs="Times New Roman"/>
          <w:sz w:val="20"/>
          <w:szCs w:val="20"/>
        </w:rPr>
        <w:t xml:space="preserve"> </w:t>
      </w:r>
      <w:proofErr w:type="gramStart"/>
      <w:r w:rsidRPr="00CA2F4B">
        <w:rPr>
          <w:rFonts w:ascii="Times New Roman" w:hAnsi="Times New Roman" w:cs="Times New Roman"/>
          <w:sz w:val="20"/>
          <w:szCs w:val="20"/>
        </w:rPr>
        <w:t>отсутствии</w:t>
      </w:r>
      <w:proofErr w:type="gramEnd"/>
      <w:r w:rsidRPr="00CA2F4B">
        <w:rPr>
          <w:rFonts w:ascii="Times New Roman" w:hAnsi="Times New Roman" w:cs="Times New Roman"/>
          <w:sz w:val="20"/>
          <w:szCs w:val="20"/>
        </w:rPr>
        <w:t xml:space="preserve"> ограничений на инвестиции в реализацию проектов компаний</w:t>
      </w:r>
      <w:r w:rsidRPr="009636D0">
        <w:rPr>
          <w:rFonts w:ascii="Times New Roman" w:hAnsi="Times New Roman" w:cs="Times New Roman"/>
          <w:sz w:val="20"/>
          <w:szCs w:val="20"/>
        </w:rPr>
        <w:t xml:space="preserve"> [3].</w:t>
      </w:r>
      <w:r w:rsidR="003E3E45">
        <w:rPr>
          <w:rFonts w:ascii="Times New Roman" w:hAnsi="Times New Roman" w:cs="Times New Roman"/>
          <w:sz w:val="20"/>
          <w:szCs w:val="20"/>
        </w:rPr>
        <w:t xml:space="preserve"> </w:t>
      </w:r>
      <w:r w:rsidRPr="00CA2F4B">
        <w:rPr>
          <w:rFonts w:ascii="Times New Roman" w:eastAsia="PMingLiU" w:hAnsi="Times New Roman" w:cs="Times New Roman"/>
          <w:sz w:val="20"/>
          <w:szCs w:val="20"/>
        </w:rPr>
        <w:t>Директивными событиями</w:t>
      </w:r>
      <w:r w:rsidRPr="00CA2F4B">
        <w:rPr>
          <w:rFonts w:ascii="Times New Roman" w:hAnsi="Times New Roman" w:cs="Times New Roman"/>
          <w:sz w:val="20"/>
          <w:szCs w:val="20"/>
        </w:rPr>
        <w:t xml:space="preserve"> </w:t>
      </w:r>
      <w:r w:rsidRPr="00CA2F4B">
        <w:rPr>
          <w:rFonts w:ascii="Times New Roman" w:eastAsia="PMingLiU" w:hAnsi="Times New Roman" w:cs="Times New Roman"/>
          <w:sz w:val="20"/>
          <w:szCs w:val="20"/>
        </w:rPr>
        <w:t>в сетевой модели ВСНГК являются пл</w:t>
      </w:r>
      <w:r w:rsidRPr="00CA2F4B">
        <w:rPr>
          <w:rFonts w:ascii="Times New Roman" w:hAnsi="Times New Roman" w:cs="Times New Roman"/>
          <w:sz w:val="20"/>
          <w:szCs w:val="20"/>
        </w:rPr>
        <w:t xml:space="preserve">анируемые сроки выхода на внешние рынки нефти и газа, а также продукции нефтегазохимии, предусмотренные государственными контрактами и </w:t>
      </w:r>
      <w:r w:rsidRPr="00CA2F4B">
        <w:rPr>
          <w:rFonts w:ascii="Times New Roman" w:eastAsia="PMingLiU" w:hAnsi="Times New Roman" w:cs="Times New Roman"/>
          <w:sz w:val="20"/>
          <w:szCs w:val="20"/>
        </w:rPr>
        <w:t xml:space="preserve">Планом развития </w:t>
      </w:r>
      <w:proofErr w:type="gramStart"/>
      <w:r w:rsidRPr="00CA2F4B">
        <w:rPr>
          <w:rFonts w:ascii="Times New Roman" w:hAnsi="Times New Roman" w:cs="Times New Roman"/>
          <w:sz w:val="20"/>
          <w:szCs w:val="20"/>
        </w:rPr>
        <w:t>газо-нефтехимии</w:t>
      </w:r>
      <w:proofErr w:type="gramEnd"/>
      <w:r w:rsidRPr="00CA2F4B">
        <w:rPr>
          <w:rFonts w:ascii="Times New Roman" w:eastAsia="PMingLiU" w:hAnsi="Times New Roman" w:cs="Times New Roman"/>
          <w:sz w:val="20"/>
          <w:szCs w:val="20"/>
        </w:rPr>
        <w:t xml:space="preserve">. </w:t>
      </w:r>
      <w:r w:rsidRPr="00CA2F4B">
        <w:rPr>
          <w:rFonts w:ascii="Times New Roman" w:hAnsi="Times New Roman" w:cs="Times New Roman"/>
          <w:sz w:val="20"/>
          <w:szCs w:val="20"/>
        </w:rPr>
        <w:t>Оценивались условия достижения сбалансированности создания мощностей технологически взаимосвязанных сопряженных производств добывающего сектора и нефтегазохимических кластеров</w:t>
      </w:r>
      <w:r w:rsidR="00971FF1">
        <w:rPr>
          <w:rFonts w:ascii="Times New Roman" w:hAnsi="Times New Roman" w:cs="Times New Roman"/>
          <w:sz w:val="20"/>
          <w:szCs w:val="20"/>
        </w:rPr>
        <w:t xml:space="preserve">. </w:t>
      </w:r>
    </w:p>
    <w:p w:rsidR="00A66D28" w:rsidRPr="001B0FCA" w:rsidRDefault="00A66D28" w:rsidP="00A66D28">
      <w:pPr>
        <w:spacing w:after="0" w:line="240" w:lineRule="auto"/>
        <w:ind w:firstLine="709"/>
        <w:jc w:val="both"/>
        <w:rPr>
          <w:rFonts w:ascii="Times New Roman" w:hAnsi="Times New Roman" w:cs="Times New Roman"/>
          <w:b/>
          <w:sz w:val="20"/>
          <w:szCs w:val="20"/>
        </w:rPr>
      </w:pPr>
      <w:r w:rsidRPr="001B0FCA">
        <w:rPr>
          <w:rFonts w:ascii="Times New Roman" w:hAnsi="Times New Roman" w:cs="Times New Roman"/>
          <w:sz w:val="20"/>
          <w:szCs w:val="20"/>
        </w:rPr>
        <w:t xml:space="preserve">Оценка синхронности сроков реализации технологически взаимосвязанных инвестиционных проектов показала, что в каждом регионе в течение всего планируемого периода создаваемые мощности добывающего сектора достаточны для обеспечения углеводородным сырьем мощностей нефтеперерабатывающих и </w:t>
      </w:r>
      <w:proofErr w:type="spellStart"/>
      <w:r w:rsidRPr="001B0FCA">
        <w:rPr>
          <w:rFonts w:ascii="Times New Roman" w:hAnsi="Times New Roman" w:cs="Times New Roman"/>
          <w:sz w:val="20"/>
          <w:szCs w:val="20"/>
        </w:rPr>
        <w:t>газохимических</w:t>
      </w:r>
      <w:proofErr w:type="spellEnd"/>
      <w:r w:rsidRPr="001B0FCA">
        <w:rPr>
          <w:rFonts w:ascii="Times New Roman" w:hAnsi="Times New Roman" w:cs="Times New Roman"/>
          <w:sz w:val="20"/>
          <w:szCs w:val="20"/>
        </w:rPr>
        <w:t xml:space="preserve"> комплексов и выполнения экспортных поставок углеводородного сырья</w:t>
      </w:r>
      <w:r w:rsidRPr="001B0FCA">
        <w:rPr>
          <w:rFonts w:ascii="Times New Roman" w:hAnsi="Times New Roman" w:cs="Times New Roman"/>
          <w:b/>
          <w:sz w:val="20"/>
          <w:szCs w:val="20"/>
        </w:rPr>
        <w:t>.</w:t>
      </w:r>
    </w:p>
    <w:p w:rsidR="00A66D28" w:rsidRPr="001B0FCA" w:rsidRDefault="00A66D28" w:rsidP="00A66D28">
      <w:pPr>
        <w:spacing w:after="0" w:line="240" w:lineRule="auto"/>
        <w:ind w:firstLine="709"/>
        <w:jc w:val="both"/>
        <w:rPr>
          <w:rFonts w:ascii="Times New Roman" w:hAnsi="Times New Roman" w:cs="Times New Roman"/>
          <w:sz w:val="20"/>
          <w:szCs w:val="20"/>
        </w:rPr>
      </w:pPr>
      <w:r w:rsidRPr="001B0FCA">
        <w:rPr>
          <w:rFonts w:ascii="Times New Roman" w:hAnsi="Times New Roman" w:cs="Times New Roman"/>
          <w:sz w:val="20"/>
          <w:szCs w:val="20"/>
        </w:rPr>
        <w:t xml:space="preserve">В целом по ВСНГК для прогнозируемых уровней добычи нефти и газа в 2013-2030 гг. необходимо подготовить 2,3 </w:t>
      </w:r>
      <w:proofErr w:type="gramStart"/>
      <w:r w:rsidRPr="001B0FCA">
        <w:rPr>
          <w:rFonts w:ascii="Times New Roman" w:hAnsi="Times New Roman" w:cs="Times New Roman"/>
          <w:sz w:val="20"/>
          <w:szCs w:val="20"/>
        </w:rPr>
        <w:t>млрд</w:t>
      </w:r>
      <w:proofErr w:type="gramEnd"/>
      <w:r w:rsidRPr="001B0FCA">
        <w:rPr>
          <w:rFonts w:ascii="Times New Roman" w:hAnsi="Times New Roman" w:cs="Times New Roman"/>
          <w:sz w:val="20"/>
          <w:szCs w:val="20"/>
        </w:rPr>
        <w:t xml:space="preserve"> т запасов нефти и 2,9 трлн. куб м - газа в Восточной Сибири и Республике Саха (Якутия) и выполнить 11,9 млн м поисково-оценочного и разведочного бурения. Создание </w:t>
      </w:r>
      <w:proofErr w:type="spellStart"/>
      <w:r w:rsidRPr="001B0FCA">
        <w:rPr>
          <w:rFonts w:ascii="Times New Roman" w:hAnsi="Times New Roman" w:cs="Times New Roman"/>
          <w:sz w:val="20"/>
          <w:szCs w:val="20"/>
        </w:rPr>
        <w:t>нефте-газохимических</w:t>
      </w:r>
      <w:proofErr w:type="spellEnd"/>
      <w:r w:rsidRPr="001B0FCA">
        <w:rPr>
          <w:rFonts w:ascii="Times New Roman" w:hAnsi="Times New Roman" w:cs="Times New Roman"/>
          <w:sz w:val="20"/>
          <w:szCs w:val="20"/>
        </w:rPr>
        <w:t xml:space="preserve"> комплексов в соответствии с Государственным планом предусматривает ввод мощностей в течение первого десятилетия и потребует освоения 73% совокупных объемов инвестиций (25 </w:t>
      </w:r>
      <w:proofErr w:type="gramStart"/>
      <w:r w:rsidRPr="001B0FCA">
        <w:rPr>
          <w:rFonts w:ascii="Times New Roman" w:hAnsi="Times New Roman" w:cs="Times New Roman"/>
          <w:sz w:val="20"/>
          <w:szCs w:val="20"/>
        </w:rPr>
        <w:t>млрд</w:t>
      </w:r>
      <w:proofErr w:type="gramEnd"/>
      <w:r w:rsidRPr="001B0FCA">
        <w:rPr>
          <w:rFonts w:ascii="Times New Roman" w:hAnsi="Times New Roman" w:cs="Times New Roman"/>
          <w:sz w:val="20"/>
          <w:szCs w:val="20"/>
        </w:rPr>
        <w:t xml:space="preserve"> долл.) в период 2016-2020 гг. Таким образом, выполнение условий комплексности освоения углеводородных ресурсов ВСНГК обуславливает высокую напряженность инвестиционной программы всего </w:t>
      </w:r>
      <w:proofErr w:type="spellStart"/>
      <w:r w:rsidRPr="001B0FCA">
        <w:rPr>
          <w:rFonts w:ascii="Times New Roman" w:hAnsi="Times New Roman" w:cs="Times New Roman"/>
          <w:sz w:val="20"/>
          <w:szCs w:val="20"/>
        </w:rPr>
        <w:t>мегапроекта</w:t>
      </w:r>
      <w:proofErr w:type="spellEnd"/>
      <w:r w:rsidRPr="001B0FCA">
        <w:rPr>
          <w:rFonts w:ascii="Times New Roman" w:hAnsi="Times New Roman" w:cs="Times New Roman"/>
          <w:sz w:val="20"/>
          <w:szCs w:val="20"/>
        </w:rPr>
        <w:t xml:space="preserve"> в период 2013-2025 гг., в котором необходимо освоить 93% совокупных инвестиций. </w:t>
      </w:r>
    </w:p>
    <w:p w:rsidR="008D2CB0" w:rsidRPr="008D2CB0" w:rsidRDefault="00370F0D" w:rsidP="008D2CB0">
      <w:pPr>
        <w:spacing w:after="0" w:line="240" w:lineRule="auto"/>
        <w:ind w:firstLine="709"/>
        <w:jc w:val="both"/>
        <w:rPr>
          <w:rFonts w:ascii="Times New Roman" w:hAnsi="Times New Roman" w:cs="Times New Roman"/>
          <w:sz w:val="20"/>
          <w:szCs w:val="20"/>
        </w:rPr>
      </w:pPr>
      <w:r>
        <w:rPr>
          <w:rFonts w:ascii="Times New Roman" w:hAnsi="Times New Roman" w:cs="Times New Roman"/>
          <w:b/>
          <w:sz w:val="20"/>
          <w:szCs w:val="20"/>
        </w:rPr>
        <w:t>С</w:t>
      </w:r>
      <w:r w:rsidR="008D2CB0" w:rsidRPr="00370F0D">
        <w:rPr>
          <w:rFonts w:ascii="Times New Roman" w:hAnsi="Times New Roman" w:cs="Times New Roman"/>
          <w:b/>
          <w:sz w:val="20"/>
          <w:szCs w:val="20"/>
        </w:rPr>
        <w:t xml:space="preserve">тратегии </w:t>
      </w:r>
      <w:proofErr w:type="gramStart"/>
      <w:r w:rsidR="008D2CB0" w:rsidRPr="00370F0D">
        <w:rPr>
          <w:rFonts w:ascii="Times New Roman" w:hAnsi="Times New Roman" w:cs="Times New Roman"/>
          <w:b/>
          <w:sz w:val="20"/>
          <w:szCs w:val="20"/>
        </w:rPr>
        <w:t>финансирования инвестиционных проектов Государственного плана развития нефтегазохимии</w:t>
      </w:r>
      <w:proofErr w:type="gramEnd"/>
      <w:r w:rsidR="008D2CB0" w:rsidRPr="008D2CB0">
        <w:rPr>
          <w:rFonts w:ascii="Times New Roman" w:hAnsi="Times New Roman" w:cs="Times New Roman"/>
          <w:sz w:val="20"/>
          <w:szCs w:val="20"/>
        </w:rPr>
        <w:t xml:space="preserve">. Первая – </w:t>
      </w:r>
      <w:r w:rsidR="008D2CB0" w:rsidRPr="008D2CB0">
        <w:rPr>
          <w:rFonts w:ascii="Times New Roman" w:hAnsi="Times New Roman" w:cs="Times New Roman"/>
          <w:i/>
          <w:sz w:val="20"/>
          <w:szCs w:val="20"/>
        </w:rPr>
        <w:t xml:space="preserve">самофинансирование </w:t>
      </w:r>
      <w:r w:rsidR="008D2CB0" w:rsidRPr="008D2CB0">
        <w:rPr>
          <w:rFonts w:ascii="Times New Roman" w:hAnsi="Times New Roman" w:cs="Times New Roman"/>
          <w:sz w:val="20"/>
          <w:szCs w:val="20"/>
        </w:rPr>
        <w:t xml:space="preserve">инвестиционных проектов, при этом нефтегазохимические компании являются самостоятельными участниками рынка. Альтернативная стратегия – целевая интеграция инвестиционных ресурсов добывающих и нефтегазохимических компаний для выполнения Государственного плана в </w:t>
      </w:r>
      <w:proofErr w:type="spellStart"/>
      <w:r w:rsidR="008D2CB0" w:rsidRPr="008D2CB0">
        <w:rPr>
          <w:rFonts w:ascii="Times New Roman" w:hAnsi="Times New Roman" w:cs="Times New Roman"/>
          <w:sz w:val="20"/>
          <w:szCs w:val="20"/>
        </w:rPr>
        <w:t>мегапроекте</w:t>
      </w:r>
      <w:proofErr w:type="spellEnd"/>
      <w:r w:rsidR="008D2CB0" w:rsidRPr="008D2CB0">
        <w:rPr>
          <w:rFonts w:ascii="Times New Roman" w:hAnsi="Times New Roman" w:cs="Times New Roman"/>
          <w:sz w:val="20"/>
          <w:szCs w:val="20"/>
        </w:rPr>
        <w:t xml:space="preserve"> ВСНГК при создании условий и организационных механизмов консолидации и межотраслевого перелива свободных средств.</w:t>
      </w:r>
    </w:p>
    <w:p w:rsidR="00971FF1" w:rsidRPr="008D2CB0" w:rsidRDefault="008D2CB0" w:rsidP="007C1095">
      <w:pPr>
        <w:spacing w:after="0" w:line="240" w:lineRule="auto"/>
        <w:ind w:firstLine="709"/>
        <w:jc w:val="both"/>
        <w:rPr>
          <w:rFonts w:ascii="Times New Roman" w:hAnsi="Times New Roman" w:cs="Times New Roman"/>
          <w:sz w:val="20"/>
          <w:szCs w:val="20"/>
        </w:rPr>
      </w:pPr>
      <w:r w:rsidRPr="008D2CB0">
        <w:rPr>
          <w:rFonts w:ascii="Times New Roman" w:hAnsi="Times New Roman" w:cs="Times New Roman"/>
          <w:bCs/>
          <w:sz w:val="20"/>
          <w:szCs w:val="20"/>
        </w:rPr>
        <w:t xml:space="preserve">Анализ возможностей самофинансирования </w:t>
      </w:r>
      <w:proofErr w:type="spellStart"/>
      <w:r w:rsidRPr="008D2CB0">
        <w:rPr>
          <w:rFonts w:ascii="Times New Roman" w:hAnsi="Times New Roman" w:cs="Times New Roman"/>
          <w:bCs/>
          <w:sz w:val="20"/>
          <w:szCs w:val="20"/>
        </w:rPr>
        <w:t>мегапроекта</w:t>
      </w:r>
      <w:proofErr w:type="spellEnd"/>
      <w:r w:rsidRPr="008D2CB0">
        <w:rPr>
          <w:rFonts w:ascii="Times New Roman" w:hAnsi="Times New Roman" w:cs="Times New Roman"/>
          <w:bCs/>
          <w:sz w:val="20"/>
          <w:szCs w:val="20"/>
        </w:rPr>
        <w:t xml:space="preserve"> ВСНГК в целом выявил высокие </w:t>
      </w:r>
      <w:proofErr w:type="spellStart"/>
      <w:r w:rsidRPr="008D2CB0">
        <w:rPr>
          <w:rFonts w:ascii="Times New Roman" w:hAnsi="Times New Roman" w:cs="Times New Roman"/>
          <w:bCs/>
          <w:sz w:val="20"/>
          <w:szCs w:val="20"/>
        </w:rPr>
        <w:t>освоенческие</w:t>
      </w:r>
      <w:proofErr w:type="spellEnd"/>
      <w:r w:rsidRPr="008D2CB0">
        <w:rPr>
          <w:rFonts w:ascii="Times New Roman" w:hAnsi="Times New Roman" w:cs="Times New Roman"/>
          <w:bCs/>
          <w:sz w:val="20"/>
          <w:szCs w:val="20"/>
        </w:rPr>
        <w:t xml:space="preserve"> риски</w:t>
      </w:r>
      <w:proofErr w:type="gramStart"/>
      <w:r w:rsidRPr="008D2CB0">
        <w:rPr>
          <w:rFonts w:ascii="Times New Roman" w:hAnsi="Times New Roman" w:cs="Times New Roman"/>
          <w:bCs/>
          <w:sz w:val="20"/>
          <w:szCs w:val="20"/>
        </w:rPr>
        <w:t>.</w:t>
      </w:r>
      <w:proofErr w:type="gramEnd"/>
      <w:r w:rsidRPr="008D2CB0">
        <w:rPr>
          <w:rFonts w:ascii="Times New Roman" w:hAnsi="Times New Roman" w:cs="Times New Roman"/>
          <w:bCs/>
          <w:sz w:val="20"/>
          <w:szCs w:val="20"/>
        </w:rPr>
        <w:t xml:space="preserve"> В 2011-2015 гг. капитал риска сырьевых компаний составит  24 </w:t>
      </w:r>
      <w:proofErr w:type="gramStart"/>
      <w:r w:rsidRPr="008D2CB0">
        <w:rPr>
          <w:rFonts w:ascii="Times New Roman" w:hAnsi="Times New Roman" w:cs="Times New Roman"/>
          <w:bCs/>
          <w:sz w:val="20"/>
          <w:szCs w:val="20"/>
        </w:rPr>
        <w:t>млрд</w:t>
      </w:r>
      <w:proofErr w:type="gramEnd"/>
      <w:r w:rsidRPr="008D2CB0">
        <w:rPr>
          <w:rFonts w:ascii="Times New Roman" w:hAnsi="Times New Roman" w:cs="Times New Roman"/>
          <w:bCs/>
          <w:sz w:val="20"/>
          <w:szCs w:val="20"/>
        </w:rPr>
        <w:t xml:space="preserve"> долл., а в </w:t>
      </w:r>
      <w:proofErr w:type="spellStart"/>
      <w:r w:rsidRPr="008D2CB0">
        <w:rPr>
          <w:rFonts w:ascii="Times New Roman" w:hAnsi="Times New Roman" w:cs="Times New Roman"/>
          <w:bCs/>
          <w:sz w:val="20"/>
          <w:szCs w:val="20"/>
        </w:rPr>
        <w:t>нефте-газохимических</w:t>
      </w:r>
      <w:proofErr w:type="spellEnd"/>
      <w:r w:rsidRPr="008D2CB0">
        <w:rPr>
          <w:rFonts w:ascii="Times New Roman" w:hAnsi="Times New Roman" w:cs="Times New Roman"/>
          <w:bCs/>
          <w:sz w:val="20"/>
          <w:szCs w:val="20"/>
        </w:rPr>
        <w:t xml:space="preserve"> проектах – 20 млрд долл. в 2016-2020 гг. (рис. 1).</w:t>
      </w:r>
      <w:r w:rsidR="007C1095">
        <w:rPr>
          <w:rFonts w:ascii="Times New Roman" w:hAnsi="Times New Roman" w:cs="Times New Roman"/>
          <w:bCs/>
          <w:sz w:val="20"/>
          <w:szCs w:val="20"/>
        </w:rPr>
        <w:t xml:space="preserve"> </w:t>
      </w:r>
      <w:r w:rsidR="00971FF1" w:rsidRPr="008D2CB0">
        <w:rPr>
          <w:rFonts w:ascii="Times New Roman" w:hAnsi="Times New Roman" w:cs="Times New Roman"/>
          <w:sz w:val="20"/>
          <w:szCs w:val="20"/>
        </w:rPr>
        <w:t xml:space="preserve">В целом для реализации стратегии самофинансирования проектов ВСНГК затраты  государства на их поддержку составят  около 34 </w:t>
      </w:r>
      <w:proofErr w:type="gramStart"/>
      <w:r w:rsidR="00971FF1" w:rsidRPr="008D2CB0">
        <w:rPr>
          <w:rFonts w:ascii="Times New Roman" w:hAnsi="Times New Roman" w:cs="Times New Roman"/>
          <w:sz w:val="20"/>
          <w:szCs w:val="20"/>
        </w:rPr>
        <w:t>млрд</w:t>
      </w:r>
      <w:proofErr w:type="gramEnd"/>
      <w:r w:rsidR="00971FF1" w:rsidRPr="008D2CB0">
        <w:rPr>
          <w:rFonts w:ascii="Times New Roman" w:hAnsi="Times New Roman" w:cs="Times New Roman"/>
          <w:sz w:val="20"/>
          <w:szCs w:val="20"/>
        </w:rPr>
        <w:t xml:space="preserve"> долл., или  8%  прогнозируемых государственных доходов от его функционирования за период 2013-2030 гг. </w:t>
      </w:r>
    </w:p>
    <w:p w:rsidR="00971FF1" w:rsidRPr="008D2CB0" w:rsidRDefault="00971FF1" w:rsidP="00971FF1">
      <w:pPr>
        <w:pStyle w:val="a6"/>
        <w:spacing w:after="0"/>
        <w:ind w:left="0" w:firstLine="709"/>
        <w:jc w:val="both"/>
        <w:rPr>
          <w:i/>
          <w:sz w:val="20"/>
          <w:szCs w:val="20"/>
        </w:rPr>
      </w:pPr>
      <w:r w:rsidRPr="008D2CB0">
        <w:rPr>
          <w:i/>
          <w:sz w:val="20"/>
          <w:szCs w:val="20"/>
        </w:rPr>
        <w:t xml:space="preserve">Выбор возможных вариантов интеграции и консолидации финансовых ресурсов компаний. </w:t>
      </w:r>
    </w:p>
    <w:p w:rsidR="00971FF1" w:rsidRPr="008D2CB0" w:rsidRDefault="00971FF1" w:rsidP="00971FF1">
      <w:pPr>
        <w:spacing w:after="0" w:line="240" w:lineRule="auto"/>
        <w:ind w:firstLine="709"/>
        <w:jc w:val="both"/>
        <w:rPr>
          <w:rFonts w:ascii="Times New Roman" w:hAnsi="Times New Roman" w:cs="Times New Roman"/>
          <w:sz w:val="20"/>
          <w:szCs w:val="20"/>
        </w:rPr>
      </w:pPr>
      <w:r w:rsidRPr="008D2CB0">
        <w:rPr>
          <w:rFonts w:ascii="Times New Roman" w:hAnsi="Times New Roman" w:cs="Times New Roman"/>
          <w:sz w:val="20"/>
          <w:szCs w:val="20"/>
        </w:rPr>
        <w:t xml:space="preserve">В 2011-2030 гг. в </w:t>
      </w:r>
      <w:proofErr w:type="spellStart"/>
      <w:r w:rsidRPr="008D2CB0">
        <w:rPr>
          <w:rFonts w:ascii="Times New Roman" w:hAnsi="Times New Roman" w:cs="Times New Roman"/>
          <w:sz w:val="20"/>
          <w:szCs w:val="20"/>
        </w:rPr>
        <w:t>мегапроекте</w:t>
      </w:r>
      <w:proofErr w:type="spellEnd"/>
      <w:r w:rsidRPr="008D2CB0">
        <w:rPr>
          <w:rFonts w:ascii="Times New Roman" w:hAnsi="Times New Roman" w:cs="Times New Roman"/>
          <w:sz w:val="20"/>
          <w:szCs w:val="20"/>
        </w:rPr>
        <w:t xml:space="preserve"> ВСНГК накопленная чистая прибыль формируется практически полностью в проектах добывающих компаний, уже с </w:t>
      </w:r>
      <w:smartTag w:uri="urn:schemas-microsoft-com:office:smarttags" w:element="metricconverter">
        <w:smartTagPr>
          <w:attr w:name="ProductID" w:val="2016 г"/>
        </w:smartTagPr>
        <w:r w:rsidRPr="008D2CB0">
          <w:rPr>
            <w:rFonts w:ascii="Times New Roman" w:hAnsi="Times New Roman" w:cs="Times New Roman"/>
            <w:sz w:val="20"/>
            <w:szCs w:val="20"/>
          </w:rPr>
          <w:t>2016 г</w:t>
        </w:r>
      </w:smartTag>
      <w:r w:rsidRPr="008D2CB0">
        <w:rPr>
          <w:rFonts w:ascii="Times New Roman" w:hAnsi="Times New Roman" w:cs="Times New Roman"/>
          <w:sz w:val="20"/>
          <w:szCs w:val="20"/>
        </w:rPr>
        <w:t>. она может стать потенциальным источником инвестиций для проектов нефтегазохимических кластеров в Восточной Сибири и Республике Саха (Якутия).</w:t>
      </w:r>
    </w:p>
    <w:p w:rsidR="003E3E45" w:rsidRDefault="003E3E45" w:rsidP="003E3E45">
      <w:pPr>
        <w:spacing w:after="0" w:line="240" w:lineRule="auto"/>
        <w:ind w:firstLine="709"/>
        <w:jc w:val="both"/>
        <w:rPr>
          <w:rFonts w:ascii="Times New Roman" w:hAnsi="Times New Roman" w:cs="Times New Roman"/>
          <w:sz w:val="20"/>
          <w:szCs w:val="20"/>
        </w:rPr>
      </w:pPr>
      <w:r w:rsidRPr="008D2CB0">
        <w:rPr>
          <w:rFonts w:ascii="Times New Roman" w:hAnsi="Times New Roman" w:cs="Times New Roman"/>
          <w:sz w:val="20"/>
          <w:szCs w:val="20"/>
        </w:rPr>
        <w:t xml:space="preserve">Разработка </w:t>
      </w:r>
      <w:proofErr w:type="gramStart"/>
      <w:r w:rsidRPr="008D2CB0">
        <w:rPr>
          <w:rFonts w:ascii="Times New Roman" w:hAnsi="Times New Roman" w:cs="Times New Roman"/>
          <w:sz w:val="20"/>
          <w:szCs w:val="20"/>
        </w:rPr>
        <w:t>механизмов стимулирования интеграции финансовых ресурсов компаний</w:t>
      </w:r>
      <w:proofErr w:type="gramEnd"/>
      <w:r w:rsidRPr="008D2CB0">
        <w:rPr>
          <w:rFonts w:ascii="Times New Roman" w:hAnsi="Times New Roman" w:cs="Times New Roman"/>
          <w:sz w:val="20"/>
          <w:szCs w:val="20"/>
        </w:rPr>
        <w:t xml:space="preserve"> основана на а</w:t>
      </w:r>
      <w:r w:rsidRPr="008D2CB0">
        <w:rPr>
          <w:rFonts w:ascii="Times New Roman" w:hAnsi="Times New Roman" w:cs="Times New Roman"/>
          <w:bCs/>
          <w:sz w:val="20"/>
          <w:szCs w:val="20"/>
        </w:rPr>
        <w:t xml:space="preserve">нализе проектных денежных потоков и налоговых поступлений по периодам и оценке влияния снижения налоговой нагрузки на индикаторы коммерческой эффективности проекта. Дополнительные доходы от снижения налоговой нагрузки сопоставляются с дефицитом собственных финансовых </w:t>
      </w:r>
      <w:proofErr w:type="gramStart"/>
      <w:r w:rsidRPr="008D2CB0">
        <w:rPr>
          <w:rFonts w:ascii="Times New Roman" w:hAnsi="Times New Roman" w:cs="Times New Roman"/>
          <w:bCs/>
          <w:sz w:val="20"/>
          <w:szCs w:val="20"/>
        </w:rPr>
        <w:t>средств</w:t>
      </w:r>
      <w:proofErr w:type="gramEnd"/>
      <w:r w:rsidRPr="008D2CB0">
        <w:rPr>
          <w:rFonts w:ascii="Times New Roman" w:hAnsi="Times New Roman" w:cs="Times New Roman"/>
          <w:bCs/>
          <w:sz w:val="20"/>
          <w:szCs w:val="20"/>
        </w:rPr>
        <w:t xml:space="preserve"> и определяется объем необходимых вливаний из сырьевого сектора</w:t>
      </w:r>
      <w:r>
        <w:rPr>
          <w:rFonts w:ascii="Times New Roman" w:hAnsi="Times New Roman" w:cs="Times New Roman"/>
          <w:bCs/>
          <w:sz w:val="20"/>
          <w:szCs w:val="20"/>
        </w:rPr>
        <w:t xml:space="preserve">. </w:t>
      </w:r>
      <w:r w:rsidRPr="008D2CB0">
        <w:rPr>
          <w:rFonts w:ascii="Times New Roman" w:hAnsi="Times New Roman" w:cs="Times New Roman"/>
          <w:sz w:val="20"/>
          <w:szCs w:val="20"/>
        </w:rPr>
        <w:t>В результате управленческие решения государства позволят обеспечить приемлемую экономическую эффективность проектов компаний.</w:t>
      </w:r>
    </w:p>
    <w:p w:rsidR="00971FF1" w:rsidRDefault="00971FF1" w:rsidP="008D2CB0">
      <w:pPr>
        <w:spacing w:after="0" w:line="240" w:lineRule="auto"/>
        <w:ind w:firstLine="709"/>
        <w:jc w:val="both"/>
        <w:rPr>
          <w:rFonts w:ascii="Times New Roman" w:hAnsi="Times New Roman" w:cs="Times New Roman"/>
          <w:bCs/>
          <w:sz w:val="20"/>
          <w:szCs w:val="20"/>
        </w:rPr>
      </w:pPr>
    </w:p>
    <w:p w:rsidR="00AB6C85" w:rsidRPr="008D2CB0" w:rsidRDefault="00AB6C85" w:rsidP="008D2CB0">
      <w:pPr>
        <w:spacing w:after="0" w:line="240" w:lineRule="auto"/>
        <w:ind w:firstLine="709"/>
        <w:jc w:val="both"/>
        <w:rPr>
          <w:rFonts w:ascii="Times New Roman" w:hAnsi="Times New Roman" w:cs="Times New Roman"/>
          <w:sz w:val="20"/>
          <w:szCs w:val="20"/>
        </w:rPr>
      </w:pPr>
      <w:r>
        <w:rPr>
          <w:noProof/>
          <w:lang w:eastAsia="ru-RU"/>
        </w:rPr>
        <w:lastRenderedPageBreak/>
        <w:drawing>
          <wp:inline distT="0" distB="0" distL="0" distR="0" wp14:anchorId="2ECA4B8F" wp14:editId="340D9D12">
            <wp:extent cx="6120130" cy="3894169"/>
            <wp:effectExtent l="0" t="0" r="13970" b="114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D2CB0" w:rsidRPr="008D2CB0" w:rsidRDefault="008D2CB0" w:rsidP="008D2CB0">
      <w:pPr>
        <w:pStyle w:val="a6"/>
        <w:spacing w:after="0"/>
        <w:ind w:left="0" w:firstLine="709"/>
        <w:jc w:val="center"/>
        <w:rPr>
          <w:noProof/>
          <w:sz w:val="20"/>
          <w:szCs w:val="20"/>
        </w:rPr>
      </w:pPr>
    </w:p>
    <w:p w:rsidR="008D2CB0" w:rsidRDefault="008D2CB0" w:rsidP="008D2CB0">
      <w:pPr>
        <w:pStyle w:val="a6"/>
        <w:spacing w:after="0"/>
        <w:ind w:left="0" w:firstLine="709"/>
        <w:jc w:val="center"/>
        <w:rPr>
          <w:bCs/>
          <w:sz w:val="20"/>
          <w:szCs w:val="20"/>
        </w:rPr>
      </w:pPr>
      <w:r w:rsidRPr="008D2CB0">
        <w:rPr>
          <w:bCs/>
          <w:sz w:val="20"/>
          <w:szCs w:val="20"/>
        </w:rPr>
        <w:t xml:space="preserve">Рис. 1. Наличие (дефицит «-») собственных средств компаний для инвестиций в ВСНГК, </w:t>
      </w:r>
      <w:proofErr w:type="gramStart"/>
      <w:r w:rsidRPr="008D2CB0">
        <w:rPr>
          <w:bCs/>
          <w:sz w:val="20"/>
          <w:szCs w:val="20"/>
        </w:rPr>
        <w:t>млрд</w:t>
      </w:r>
      <w:proofErr w:type="gramEnd"/>
      <w:r w:rsidRPr="008D2CB0">
        <w:rPr>
          <w:bCs/>
          <w:sz w:val="20"/>
          <w:szCs w:val="20"/>
        </w:rPr>
        <w:t xml:space="preserve"> долл. США, оптимистический сценарий</w:t>
      </w:r>
    </w:p>
    <w:p w:rsidR="00AB6C85" w:rsidRPr="008D2CB0" w:rsidRDefault="00AB6C85" w:rsidP="008D2CB0">
      <w:pPr>
        <w:pStyle w:val="a6"/>
        <w:spacing w:after="0"/>
        <w:ind w:left="0" w:firstLine="709"/>
        <w:jc w:val="center"/>
        <w:rPr>
          <w:bCs/>
          <w:sz w:val="20"/>
          <w:szCs w:val="20"/>
        </w:rPr>
      </w:pPr>
    </w:p>
    <w:p w:rsidR="008D2CB0" w:rsidRPr="008D2CB0" w:rsidRDefault="008D2CB0" w:rsidP="008D2CB0">
      <w:pPr>
        <w:spacing w:after="0" w:line="240" w:lineRule="auto"/>
        <w:ind w:firstLine="709"/>
        <w:jc w:val="both"/>
        <w:rPr>
          <w:rFonts w:ascii="Times New Roman" w:hAnsi="Times New Roman" w:cs="Times New Roman"/>
          <w:sz w:val="20"/>
          <w:szCs w:val="20"/>
        </w:rPr>
      </w:pPr>
      <w:r w:rsidRPr="008D2CB0">
        <w:rPr>
          <w:rFonts w:ascii="Times New Roman" w:hAnsi="Times New Roman" w:cs="Times New Roman"/>
          <w:bCs/>
          <w:sz w:val="20"/>
          <w:szCs w:val="20"/>
        </w:rPr>
        <w:t xml:space="preserve">Механизмы стимулирования интеграции финансовых ресурсов состоят в ослаблении налогового режима для проектов и предоставление </w:t>
      </w:r>
      <w:r w:rsidRPr="008D2CB0">
        <w:rPr>
          <w:rFonts w:ascii="Times New Roman" w:hAnsi="Times New Roman" w:cs="Times New Roman"/>
          <w:sz w:val="20"/>
          <w:szCs w:val="20"/>
        </w:rPr>
        <w:t xml:space="preserve">взаимосвязанных целевых государственных преференций сырьевым компаниям: </w:t>
      </w:r>
    </w:p>
    <w:p w:rsidR="008D2CB0" w:rsidRPr="008D2CB0" w:rsidRDefault="008D2CB0" w:rsidP="008D2CB0">
      <w:pPr>
        <w:pStyle w:val="a5"/>
        <w:numPr>
          <w:ilvl w:val="0"/>
          <w:numId w:val="3"/>
        </w:numPr>
        <w:ind w:left="0" w:firstLine="709"/>
        <w:jc w:val="both"/>
        <w:rPr>
          <w:sz w:val="20"/>
          <w:szCs w:val="20"/>
          <w:lang w:val="ru-RU"/>
        </w:rPr>
      </w:pPr>
      <w:r w:rsidRPr="008D2CB0">
        <w:rPr>
          <w:sz w:val="20"/>
          <w:szCs w:val="20"/>
          <w:lang w:val="ru-RU"/>
        </w:rPr>
        <w:t xml:space="preserve">отмена экспортных пошлин от продажи нефти и газа сырьевым компаниям в 2011-2015 гг. при условии участия добывающих компаний в финансировании проектов создания нефтегазохимических комплексов; </w:t>
      </w:r>
    </w:p>
    <w:p w:rsidR="008D2CB0" w:rsidRPr="008D2CB0" w:rsidRDefault="008D2CB0" w:rsidP="008D2CB0">
      <w:pPr>
        <w:numPr>
          <w:ilvl w:val="0"/>
          <w:numId w:val="3"/>
        </w:numPr>
        <w:spacing w:after="0" w:line="240" w:lineRule="auto"/>
        <w:ind w:left="0" w:firstLine="709"/>
        <w:jc w:val="both"/>
        <w:rPr>
          <w:rFonts w:ascii="Times New Roman" w:hAnsi="Times New Roman" w:cs="Times New Roman"/>
          <w:bCs/>
          <w:sz w:val="20"/>
          <w:szCs w:val="20"/>
        </w:rPr>
      </w:pPr>
      <w:r w:rsidRPr="008D2CB0">
        <w:rPr>
          <w:rFonts w:ascii="Times New Roman" w:hAnsi="Times New Roman" w:cs="Times New Roman"/>
          <w:bCs/>
          <w:sz w:val="20"/>
          <w:szCs w:val="20"/>
        </w:rPr>
        <w:t xml:space="preserve">создание благоприятного налогового режима на период освоения проектных мощностей: снизить  вдвое ставки налогов на доходы для нефтеперерабатывающих проектов в 2016–2020 гг. и в 4,5 раза для </w:t>
      </w:r>
      <w:proofErr w:type="spellStart"/>
      <w:r w:rsidRPr="008D2CB0">
        <w:rPr>
          <w:rFonts w:ascii="Times New Roman" w:hAnsi="Times New Roman" w:cs="Times New Roman"/>
          <w:bCs/>
          <w:sz w:val="20"/>
          <w:szCs w:val="20"/>
        </w:rPr>
        <w:t>газохимических</w:t>
      </w:r>
      <w:proofErr w:type="spellEnd"/>
      <w:r w:rsidRPr="008D2CB0">
        <w:rPr>
          <w:rFonts w:ascii="Times New Roman" w:hAnsi="Times New Roman" w:cs="Times New Roman"/>
          <w:bCs/>
          <w:sz w:val="20"/>
          <w:szCs w:val="20"/>
        </w:rPr>
        <w:t xml:space="preserve"> проектов в 2021-2025 гг.;</w:t>
      </w:r>
    </w:p>
    <w:p w:rsidR="008D2CB0" w:rsidRPr="008D2CB0" w:rsidRDefault="008D2CB0" w:rsidP="008D2CB0">
      <w:pPr>
        <w:pStyle w:val="a5"/>
        <w:numPr>
          <w:ilvl w:val="0"/>
          <w:numId w:val="3"/>
        </w:numPr>
        <w:ind w:left="0" w:firstLine="709"/>
        <w:jc w:val="both"/>
        <w:rPr>
          <w:sz w:val="20"/>
          <w:szCs w:val="20"/>
          <w:lang w:val="ru-RU"/>
        </w:rPr>
      </w:pPr>
      <w:r w:rsidRPr="008D2CB0">
        <w:rPr>
          <w:sz w:val="20"/>
          <w:szCs w:val="20"/>
          <w:lang w:val="ru-RU"/>
        </w:rPr>
        <w:t>предоставление государственных гарантий для внешних займов инфраструктурным проектам нефтегазохимических кластеров и добывающим компаниям ВСНГК в период 2011-2020 гг.</w:t>
      </w:r>
    </w:p>
    <w:p w:rsidR="008D2CB0" w:rsidRPr="008D2CB0" w:rsidRDefault="008D2CB0" w:rsidP="008D2CB0">
      <w:pPr>
        <w:spacing w:after="0" w:line="240" w:lineRule="auto"/>
        <w:ind w:firstLine="709"/>
        <w:jc w:val="both"/>
        <w:rPr>
          <w:rFonts w:ascii="Times New Roman" w:hAnsi="Times New Roman" w:cs="Times New Roman"/>
          <w:sz w:val="20"/>
          <w:szCs w:val="20"/>
        </w:rPr>
      </w:pPr>
      <w:r w:rsidRPr="008D2CB0">
        <w:rPr>
          <w:rFonts w:ascii="Times New Roman" w:hAnsi="Times New Roman" w:cs="Times New Roman"/>
          <w:sz w:val="20"/>
          <w:szCs w:val="20"/>
        </w:rPr>
        <w:t xml:space="preserve">Проведенные исследования реализуемости проектов Государственного плана развития </w:t>
      </w:r>
      <w:proofErr w:type="gramStart"/>
      <w:r w:rsidRPr="008D2CB0">
        <w:rPr>
          <w:rFonts w:ascii="Times New Roman" w:hAnsi="Times New Roman" w:cs="Times New Roman"/>
          <w:sz w:val="20"/>
          <w:szCs w:val="20"/>
        </w:rPr>
        <w:t>газо-и</w:t>
      </w:r>
      <w:proofErr w:type="gramEnd"/>
      <w:r w:rsidRPr="008D2CB0">
        <w:rPr>
          <w:rFonts w:ascii="Times New Roman" w:hAnsi="Times New Roman" w:cs="Times New Roman"/>
          <w:sz w:val="20"/>
          <w:szCs w:val="20"/>
        </w:rPr>
        <w:t xml:space="preserve"> нефтехимических комплексов в Восточной Сибири и Дальнем Востоке в рамках </w:t>
      </w:r>
      <w:proofErr w:type="spellStart"/>
      <w:r w:rsidRPr="008D2CB0">
        <w:rPr>
          <w:rFonts w:ascii="Times New Roman" w:hAnsi="Times New Roman" w:cs="Times New Roman"/>
          <w:sz w:val="20"/>
          <w:szCs w:val="20"/>
        </w:rPr>
        <w:t>мегапроекта</w:t>
      </w:r>
      <w:proofErr w:type="spellEnd"/>
      <w:r w:rsidRPr="008D2CB0">
        <w:rPr>
          <w:rFonts w:ascii="Times New Roman" w:hAnsi="Times New Roman" w:cs="Times New Roman"/>
          <w:sz w:val="20"/>
          <w:szCs w:val="20"/>
        </w:rPr>
        <w:t xml:space="preserve"> ВСНГК доказали эффективность интеграции добывающего и газо-нефтехимических кластеров с учетом стратегических интересов участников </w:t>
      </w:r>
      <w:proofErr w:type="spellStart"/>
      <w:r w:rsidRPr="008D2CB0">
        <w:rPr>
          <w:rFonts w:ascii="Times New Roman" w:hAnsi="Times New Roman" w:cs="Times New Roman"/>
          <w:sz w:val="20"/>
          <w:szCs w:val="20"/>
        </w:rPr>
        <w:t>мегапроекта</w:t>
      </w:r>
      <w:proofErr w:type="spellEnd"/>
      <w:r w:rsidRPr="008D2CB0">
        <w:rPr>
          <w:rFonts w:ascii="Times New Roman" w:hAnsi="Times New Roman" w:cs="Times New Roman"/>
          <w:sz w:val="20"/>
          <w:szCs w:val="20"/>
        </w:rPr>
        <w:t>. И</w:t>
      </w:r>
      <w:r w:rsidRPr="008D2CB0">
        <w:rPr>
          <w:rFonts w:ascii="Times New Roman" w:hAnsi="Times New Roman" w:cs="Times New Roman"/>
          <w:bCs/>
          <w:sz w:val="20"/>
          <w:szCs w:val="20"/>
        </w:rPr>
        <w:t>нтеграционный эффект в целом для ВСНГК находит свое выражение в виде</w:t>
      </w:r>
      <w:r w:rsidRPr="008D2CB0">
        <w:rPr>
          <w:rFonts w:ascii="Times New Roman" w:hAnsi="Times New Roman" w:cs="Times New Roman"/>
          <w:sz w:val="20"/>
          <w:szCs w:val="20"/>
        </w:rPr>
        <w:t xml:space="preserve"> дополнительных налоговых доходов и платежей в бюджетную систему государства в объеме 12,7 </w:t>
      </w:r>
      <w:proofErr w:type="gramStart"/>
      <w:r w:rsidRPr="008D2CB0">
        <w:rPr>
          <w:rFonts w:ascii="Times New Roman" w:hAnsi="Times New Roman" w:cs="Times New Roman"/>
          <w:sz w:val="20"/>
          <w:szCs w:val="20"/>
        </w:rPr>
        <w:t>млрд</w:t>
      </w:r>
      <w:proofErr w:type="gramEnd"/>
      <w:r w:rsidRPr="008D2CB0">
        <w:rPr>
          <w:rFonts w:ascii="Times New Roman" w:hAnsi="Times New Roman" w:cs="Times New Roman"/>
          <w:sz w:val="20"/>
          <w:szCs w:val="20"/>
        </w:rPr>
        <w:t xml:space="preserve"> долл., прироста чистой прибыли компаний на 47,7 млрд долл.</w:t>
      </w:r>
    </w:p>
    <w:p w:rsidR="007E4650" w:rsidRDefault="008D2CB0" w:rsidP="007E4650">
      <w:pPr>
        <w:spacing w:after="0" w:line="240" w:lineRule="auto"/>
        <w:ind w:firstLine="709"/>
        <w:jc w:val="both"/>
        <w:rPr>
          <w:rFonts w:ascii="Times New Roman" w:hAnsi="Times New Roman" w:cs="Times New Roman"/>
          <w:sz w:val="20"/>
          <w:szCs w:val="20"/>
        </w:rPr>
      </w:pPr>
      <w:r w:rsidRPr="008D2CB0">
        <w:rPr>
          <w:rFonts w:ascii="Times New Roman" w:hAnsi="Times New Roman" w:cs="Times New Roman"/>
          <w:sz w:val="20"/>
          <w:szCs w:val="20"/>
        </w:rPr>
        <w:t>Предложенный инструментарий к</w:t>
      </w:r>
      <w:r w:rsidRPr="008D2CB0">
        <w:rPr>
          <w:rFonts w:ascii="Times New Roman" w:hAnsi="Times New Roman" w:cs="Times New Roman"/>
          <w:bCs/>
          <w:iCs/>
          <w:color w:val="000000"/>
          <w:sz w:val="20"/>
          <w:szCs w:val="20"/>
        </w:rPr>
        <w:t xml:space="preserve">оординации </w:t>
      </w:r>
      <w:r w:rsidRPr="008D2CB0">
        <w:rPr>
          <w:rFonts w:ascii="Times New Roman" w:hAnsi="Times New Roman" w:cs="Times New Roman"/>
          <w:bCs/>
          <w:sz w:val="20"/>
          <w:szCs w:val="20"/>
        </w:rPr>
        <w:t>инвестиционных</w:t>
      </w:r>
      <w:r w:rsidRPr="008D2CB0">
        <w:rPr>
          <w:rFonts w:ascii="Times New Roman" w:hAnsi="Times New Roman" w:cs="Times New Roman"/>
          <w:sz w:val="20"/>
          <w:szCs w:val="20"/>
        </w:rPr>
        <w:t xml:space="preserve"> решений компаний в программе ресурсных </w:t>
      </w:r>
      <w:proofErr w:type="spellStart"/>
      <w:r w:rsidRPr="008D2CB0">
        <w:rPr>
          <w:rFonts w:ascii="Times New Roman" w:hAnsi="Times New Roman" w:cs="Times New Roman"/>
          <w:sz w:val="20"/>
          <w:szCs w:val="20"/>
        </w:rPr>
        <w:t>мегапроектов</w:t>
      </w:r>
      <w:proofErr w:type="spellEnd"/>
      <w:r w:rsidRPr="008D2CB0">
        <w:rPr>
          <w:rFonts w:ascii="Times New Roman" w:hAnsi="Times New Roman" w:cs="Times New Roman"/>
          <w:sz w:val="20"/>
          <w:szCs w:val="20"/>
        </w:rPr>
        <w:t xml:space="preserve"> может быть аналитическим аппаратом разработки и оценки системных управленческих решений правительственного органа - координатора реализации «Государственного плана развития </w:t>
      </w:r>
      <w:proofErr w:type="gramStart"/>
      <w:r w:rsidRPr="008D2CB0">
        <w:rPr>
          <w:rFonts w:ascii="Times New Roman" w:hAnsi="Times New Roman" w:cs="Times New Roman"/>
          <w:sz w:val="20"/>
          <w:szCs w:val="20"/>
        </w:rPr>
        <w:t>газо-и</w:t>
      </w:r>
      <w:proofErr w:type="gramEnd"/>
      <w:r w:rsidRPr="008D2CB0">
        <w:rPr>
          <w:rFonts w:ascii="Times New Roman" w:hAnsi="Times New Roman" w:cs="Times New Roman"/>
          <w:sz w:val="20"/>
          <w:szCs w:val="20"/>
        </w:rPr>
        <w:t xml:space="preserve"> нефтехимии России на период до </w:t>
      </w:r>
      <w:smartTag w:uri="urn:schemas-microsoft-com:office:smarttags" w:element="metricconverter">
        <w:smartTagPr>
          <w:attr w:name="ProductID" w:val="2030 г"/>
        </w:smartTagPr>
        <w:r w:rsidRPr="008D2CB0">
          <w:rPr>
            <w:rFonts w:ascii="Times New Roman" w:hAnsi="Times New Roman" w:cs="Times New Roman"/>
            <w:sz w:val="20"/>
            <w:szCs w:val="20"/>
          </w:rPr>
          <w:t>2030 г</w:t>
        </w:r>
      </w:smartTag>
      <w:r w:rsidRPr="008D2CB0">
        <w:rPr>
          <w:rFonts w:ascii="Times New Roman" w:hAnsi="Times New Roman" w:cs="Times New Roman"/>
          <w:sz w:val="20"/>
          <w:szCs w:val="20"/>
        </w:rPr>
        <w:t>.».</w:t>
      </w:r>
      <w:r w:rsidR="007E4650">
        <w:rPr>
          <w:rFonts w:ascii="Times New Roman" w:hAnsi="Times New Roman" w:cs="Times New Roman"/>
          <w:sz w:val="20"/>
          <w:szCs w:val="20"/>
        </w:rPr>
        <w:t xml:space="preserve"> </w:t>
      </w:r>
    </w:p>
    <w:p w:rsidR="003E3E45" w:rsidRPr="008D2CB0" w:rsidRDefault="003E3E45" w:rsidP="007E4650">
      <w:pPr>
        <w:spacing w:after="0" w:line="240" w:lineRule="auto"/>
        <w:ind w:firstLine="709"/>
        <w:jc w:val="both"/>
        <w:rPr>
          <w:rFonts w:ascii="Times New Roman" w:hAnsi="Times New Roman" w:cs="Times New Roman"/>
          <w:sz w:val="20"/>
          <w:szCs w:val="20"/>
        </w:rPr>
      </w:pPr>
    </w:p>
    <w:p w:rsidR="00802BC2" w:rsidRPr="00802BC2" w:rsidRDefault="00802BC2" w:rsidP="00802BC2">
      <w:pPr>
        <w:pStyle w:val="a5"/>
        <w:ind w:firstLine="709"/>
        <w:jc w:val="center"/>
        <w:rPr>
          <w:i/>
          <w:sz w:val="18"/>
          <w:szCs w:val="18"/>
          <w:lang w:val="ru-RU"/>
        </w:rPr>
      </w:pPr>
      <w:r w:rsidRPr="00802BC2">
        <w:rPr>
          <w:i/>
          <w:sz w:val="18"/>
          <w:szCs w:val="18"/>
          <w:lang w:val="ru-RU"/>
        </w:rPr>
        <w:t>Литература</w:t>
      </w:r>
    </w:p>
    <w:p w:rsidR="00802BC2" w:rsidRDefault="00802BC2" w:rsidP="00AA342A">
      <w:pPr>
        <w:pStyle w:val="a5"/>
        <w:ind w:firstLine="709"/>
        <w:jc w:val="both"/>
        <w:rPr>
          <w:sz w:val="20"/>
          <w:szCs w:val="20"/>
          <w:lang w:val="ru-RU"/>
        </w:rPr>
      </w:pPr>
    </w:p>
    <w:p w:rsidR="00802BC2" w:rsidRDefault="00802BC2" w:rsidP="00802BC2">
      <w:pPr>
        <w:pStyle w:val="a5"/>
        <w:jc w:val="both"/>
        <w:rPr>
          <w:b/>
          <w:sz w:val="18"/>
          <w:szCs w:val="18"/>
          <w:lang w:val="ru-RU"/>
        </w:rPr>
      </w:pPr>
      <w:r w:rsidRPr="00802BC2">
        <w:rPr>
          <w:sz w:val="18"/>
          <w:szCs w:val="18"/>
          <w:lang w:val="ru-RU"/>
        </w:rPr>
        <w:t xml:space="preserve">1. </w:t>
      </w:r>
      <w:r w:rsidRPr="00802BC2">
        <w:rPr>
          <w:sz w:val="18"/>
          <w:szCs w:val="18"/>
          <w:lang w:val="ru-RU"/>
        </w:rPr>
        <w:t xml:space="preserve">План развития газо- и нефтехимии России на период до 2030 гг. Источники: </w:t>
      </w:r>
      <w:hyperlink r:id="rId13" w:history="1">
        <w:r w:rsidRPr="00802BC2">
          <w:rPr>
            <w:rStyle w:val="a3"/>
            <w:color w:val="auto"/>
            <w:sz w:val="18"/>
            <w:szCs w:val="18"/>
            <w:u w:val="none"/>
          </w:rPr>
          <w:t>http</w:t>
        </w:r>
        <w:r w:rsidRPr="00802BC2">
          <w:rPr>
            <w:rStyle w:val="a3"/>
            <w:color w:val="auto"/>
            <w:sz w:val="18"/>
            <w:szCs w:val="18"/>
            <w:u w:val="none"/>
            <w:lang w:val="ru-RU"/>
          </w:rPr>
          <w:t>://</w:t>
        </w:r>
        <w:r w:rsidRPr="00802BC2">
          <w:rPr>
            <w:rStyle w:val="a3"/>
            <w:color w:val="auto"/>
            <w:sz w:val="18"/>
            <w:szCs w:val="18"/>
            <w:u w:val="none"/>
          </w:rPr>
          <w:t>www</w:t>
        </w:r>
        <w:r w:rsidRPr="00802BC2">
          <w:rPr>
            <w:rStyle w:val="a3"/>
            <w:color w:val="auto"/>
            <w:sz w:val="18"/>
            <w:szCs w:val="18"/>
            <w:u w:val="none"/>
            <w:lang w:val="ru-RU"/>
          </w:rPr>
          <w:t>.</w:t>
        </w:r>
        <w:r w:rsidRPr="00802BC2">
          <w:rPr>
            <w:rStyle w:val="a3"/>
            <w:color w:val="auto"/>
            <w:sz w:val="18"/>
            <w:szCs w:val="18"/>
            <w:u w:val="none"/>
          </w:rPr>
          <w:t>cntd</w:t>
        </w:r>
        <w:r w:rsidRPr="00802BC2">
          <w:rPr>
            <w:rStyle w:val="a3"/>
            <w:color w:val="auto"/>
            <w:sz w:val="18"/>
            <w:szCs w:val="18"/>
            <w:u w:val="none"/>
            <w:lang w:val="ru-RU"/>
          </w:rPr>
          <w:t>.</w:t>
        </w:r>
        <w:r w:rsidRPr="00802BC2">
          <w:rPr>
            <w:rStyle w:val="a3"/>
            <w:color w:val="auto"/>
            <w:sz w:val="18"/>
            <w:szCs w:val="18"/>
            <w:u w:val="none"/>
          </w:rPr>
          <w:t>ru</w:t>
        </w:r>
        <w:r w:rsidRPr="00802BC2">
          <w:rPr>
            <w:rStyle w:val="a3"/>
            <w:color w:val="auto"/>
            <w:sz w:val="18"/>
            <w:szCs w:val="18"/>
            <w:u w:val="none"/>
            <w:lang w:val="ru-RU"/>
          </w:rPr>
          <w:t>/10</w:t>
        </w:r>
        <w:r w:rsidRPr="00802BC2">
          <w:rPr>
            <w:rStyle w:val="a3"/>
            <w:color w:val="auto"/>
            <w:sz w:val="18"/>
            <w:szCs w:val="18"/>
            <w:u w:val="none"/>
            <w:lang w:val="ru-RU"/>
          </w:rPr>
          <w:t>0</w:t>
        </w:r>
        <w:r w:rsidRPr="00802BC2">
          <w:rPr>
            <w:rStyle w:val="a3"/>
            <w:color w:val="auto"/>
            <w:sz w:val="18"/>
            <w:szCs w:val="18"/>
            <w:u w:val="none"/>
            <w:lang w:val="ru-RU"/>
          </w:rPr>
          <w:t>0002845.</w:t>
        </w:r>
        <w:r w:rsidRPr="00802BC2">
          <w:rPr>
            <w:rStyle w:val="a3"/>
            <w:color w:val="auto"/>
            <w:sz w:val="18"/>
            <w:szCs w:val="18"/>
            <w:u w:val="none"/>
          </w:rPr>
          <w:t>html</w:t>
        </w:r>
      </w:hyperlink>
      <w:r w:rsidRPr="00802BC2">
        <w:rPr>
          <w:sz w:val="18"/>
          <w:szCs w:val="18"/>
          <w:lang w:val="ru-RU"/>
        </w:rPr>
        <w:t xml:space="preserve">; </w:t>
      </w:r>
      <w:hyperlink r:id="rId14" w:history="1">
        <w:r w:rsidRPr="00802BC2">
          <w:rPr>
            <w:rStyle w:val="a3"/>
            <w:color w:val="auto"/>
            <w:sz w:val="18"/>
            <w:szCs w:val="18"/>
            <w:u w:val="none"/>
          </w:rPr>
          <w:t>http</w:t>
        </w:r>
        <w:r w:rsidRPr="00802BC2">
          <w:rPr>
            <w:rStyle w:val="a3"/>
            <w:color w:val="auto"/>
            <w:sz w:val="18"/>
            <w:szCs w:val="18"/>
            <w:u w:val="none"/>
            <w:lang w:val="ru-RU"/>
          </w:rPr>
          <w:t>://</w:t>
        </w:r>
        <w:r w:rsidRPr="00802BC2">
          <w:rPr>
            <w:rStyle w:val="a3"/>
            <w:color w:val="auto"/>
            <w:sz w:val="18"/>
            <w:szCs w:val="18"/>
            <w:u w:val="none"/>
          </w:rPr>
          <w:t>minenergo</w:t>
        </w:r>
        <w:r w:rsidRPr="00802BC2">
          <w:rPr>
            <w:rStyle w:val="a3"/>
            <w:color w:val="auto"/>
            <w:sz w:val="18"/>
            <w:szCs w:val="18"/>
            <w:u w:val="none"/>
            <w:lang w:val="ru-RU"/>
          </w:rPr>
          <w:t>.</w:t>
        </w:r>
        <w:r w:rsidRPr="00802BC2">
          <w:rPr>
            <w:rStyle w:val="a3"/>
            <w:color w:val="auto"/>
            <w:sz w:val="18"/>
            <w:szCs w:val="18"/>
            <w:u w:val="none"/>
          </w:rPr>
          <w:t>gov</w:t>
        </w:r>
        <w:r w:rsidRPr="00802BC2">
          <w:rPr>
            <w:rStyle w:val="a3"/>
            <w:color w:val="auto"/>
            <w:sz w:val="18"/>
            <w:szCs w:val="18"/>
            <w:u w:val="none"/>
            <w:lang w:val="ru-RU"/>
          </w:rPr>
          <w:t>.</w:t>
        </w:r>
        <w:r w:rsidRPr="00802BC2">
          <w:rPr>
            <w:rStyle w:val="a3"/>
            <w:color w:val="auto"/>
            <w:sz w:val="18"/>
            <w:szCs w:val="18"/>
            <w:u w:val="none"/>
          </w:rPr>
          <w:t>ru</w:t>
        </w:r>
        <w:r w:rsidRPr="00802BC2">
          <w:rPr>
            <w:rStyle w:val="a3"/>
            <w:color w:val="auto"/>
            <w:sz w:val="18"/>
            <w:szCs w:val="18"/>
            <w:u w:val="none"/>
            <w:lang w:val="ru-RU"/>
          </w:rPr>
          <w:t>/</w:t>
        </w:r>
        <w:r w:rsidRPr="00802BC2">
          <w:rPr>
            <w:rStyle w:val="a3"/>
            <w:color w:val="auto"/>
            <w:sz w:val="18"/>
            <w:szCs w:val="18"/>
            <w:u w:val="none"/>
          </w:rPr>
          <w:t>activity</w:t>
        </w:r>
        <w:r w:rsidRPr="00802BC2">
          <w:rPr>
            <w:rStyle w:val="a3"/>
            <w:color w:val="auto"/>
            <w:sz w:val="18"/>
            <w:szCs w:val="18"/>
            <w:u w:val="none"/>
            <w:lang w:val="ru-RU"/>
          </w:rPr>
          <w:t>/</w:t>
        </w:r>
        <w:r w:rsidRPr="00802BC2">
          <w:rPr>
            <w:rStyle w:val="a3"/>
            <w:color w:val="auto"/>
            <w:sz w:val="18"/>
            <w:szCs w:val="18"/>
            <w:u w:val="none"/>
          </w:rPr>
          <w:t>oilgas</w:t>
        </w:r>
        <w:r w:rsidRPr="00802BC2">
          <w:rPr>
            <w:rStyle w:val="a3"/>
            <w:color w:val="auto"/>
            <w:sz w:val="18"/>
            <w:szCs w:val="18"/>
            <w:u w:val="none"/>
            <w:lang w:val="ru-RU"/>
          </w:rPr>
          <w:t>/</w:t>
        </w:r>
        <w:r w:rsidRPr="00802BC2">
          <w:rPr>
            <w:rStyle w:val="a3"/>
            <w:color w:val="auto"/>
            <w:sz w:val="18"/>
            <w:szCs w:val="18"/>
            <w:u w:val="none"/>
          </w:rPr>
          <w:t>petrochemical</w:t>
        </w:r>
        <w:r w:rsidRPr="00802BC2">
          <w:rPr>
            <w:rStyle w:val="a3"/>
            <w:color w:val="auto"/>
            <w:sz w:val="18"/>
            <w:szCs w:val="18"/>
            <w:u w:val="none"/>
            <w:lang w:val="ru-RU"/>
          </w:rPr>
          <w:t>_</w:t>
        </w:r>
        <w:r w:rsidRPr="00802BC2">
          <w:rPr>
            <w:rStyle w:val="a3"/>
            <w:color w:val="auto"/>
            <w:sz w:val="18"/>
            <w:szCs w:val="18"/>
            <w:u w:val="none"/>
          </w:rPr>
          <w:t>branch</w:t>
        </w:r>
        <w:r w:rsidRPr="00802BC2">
          <w:rPr>
            <w:rStyle w:val="a3"/>
            <w:color w:val="auto"/>
            <w:sz w:val="18"/>
            <w:szCs w:val="18"/>
            <w:u w:val="none"/>
            <w:lang w:val="ru-RU"/>
          </w:rPr>
          <w:t>/</w:t>
        </w:r>
      </w:hyperlink>
      <w:r>
        <w:rPr>
          <w:b/>
          <w:sz w:val="18"/>
          <w:szCs w:val="18"/>
          <w:lang w:val="ru-RU"/>
        </w:rPr>
        <w:t>.</w:t>
      </w:r>
    </w:p>
    <w:p w:rsidR="00370F0D" w:rsidRPr="00370F0D" w:rsidRDefault="009613A8" w:rsidP="00370F0D">
      <w:pPr>
        <w:pStyle w:val="a5"/>
        <w:jc w:val="both"/>
        <w:rPr>
          <w:sz w:val="18"/>
          <w:szCs w:val="18"/>
          <w:lang w:val="ru-RU"/>
        </w:rPr>
      </w:pPr>
      <w:r>
        <w:rPr>
          <w:rStyle w:val="c1"/>
          <w:sz w:val="18"/>
          <w:szCs w:val="18"/>
          <w:lang w:val="ru-RU"/>
        </w:rPr>
        <w:t>2</w:t>
      </w:r>
      <w:r w:rsidR="00370F0D" w:rsidRPr="00370F0D">
        <w:rPr>
          <w:rStyle w:val="c1"/>
          <w:sz w:val="18"/>
          <w:szCs w:val="18"/>
          <w:lang w:val="ru-RU"/>
        </w:rPr>
        <w:t>.</w:t>
      </w:r>
      <w:r w:rsidR="00370F0D" w:rsidRPr="00370F0D">
        <w:rPr>
          <w:rStyle w:val="c1"/>
          <w:sz w:val="18"/>
          <w:szCs w:val="18"/>
          <w:lang w:val="ru-RU"/>
        </w:rPr>
        <w:t xml:space="preserve"> </w:t>
      </w:r>
      <w:proofErr w:type="spellStart"/>
      <w:r w:rsidR="00370F0D" w:rsidRPr="00370F0D">
        <w:rPr>
          <w:sz w:val="18"/>
          <w:szCs w:val="18"/>
          <w:lang w:val="ru-RU"/>
        </w:rPr>
        <w:t>Пляскина</w:t>
      </w:r>
      <w:proofErr w:type="spellEnd"/>
      <w:r w:rsidR="00370F0D" w:rsidRPr="00370F0D">
        <w:rPr>
          <w:sz w:val="18"/>
          <w:szCs w:val="18"/>
          <w:lang w:val="ru-RU"/>
        </w:rPr>
        <w:t xml:space="preserve"> Н.И., Харитонова В.Н. Стратегическое планирование </w:t>
      </w:r>
      <w:proofErr w:type="gramStart"/>
      <w:r w:rsidR="00370F0D" w:rsidRPr="00370F0D">
        <w:rPr>
          <w:sz w:val="18"/>
          <w:szCs w:val="18"/>
          <w:lang w:val="ru-RU"/>
        </w:rPr>
        <w:t>межотраслевых</w:t>
      </w:r>
      <w:proofErr w:type="gramEnd"/>
      <w:r w:rsidR="00370F0D" w:rsidRPr="00370F0D">
        <w:rPr>
          <w:sz w:val="18"/>
          <w:szCs w:val="18"/>
          <w:lang w:val="ru-RU"/>
        </w:rPr>
        <w:t xml:space="preserve"> ресурсных </w:t>
      </w:r>
      <w:proofErr w:type="spellStart"/>
      <w:r w:rsidR="00370F0D" w:rsidRPr="00370F0D">
        <w:rPr>
          <w:sz w:val="18"/>
          <w:szCs w:val="18"/>
          <w:lang w:val="ru-RU"/>
        </w:rPr>
        <w:t>мегапроектов</w:t>
      </w:r>
      <w:proofErr w:type="spellEnd"/>
      <w:r w:rsidR="00370F0D" w:rsidRPr="00370F0D">
        <w:rPr>
          <w:sz w:val="18"/>
          <w:szCs w:val="18"/>
          <w:lang w:val="ru-RU"/>
        </w:rPr>
        <w:t>: методология и инструментарий // Проблемы прогнозирования. - 2013. - № 2. - С. 15-27.</w:t>
      </w:r>
    </w:p>
    <w:p w:rsidR="009636D0" w:rsidRPr="00370F0D" w:rsidRDefault="009636D0" w:rsidP="009636D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w:t>
      </w:r>
      <w:r w:rsidRPr="00370F0D">
        <w:rPr>
          <w:rFonts w:ascii="Times New Roman" w:hAnsi="Times New Roman" w:cs="Times New Roman"/>
          <w:sz w:val="18"/>
          <w:szCs w:val="18"/>
        </w:rPr>
        <w:t xml:space="preserve">. </w:t>
      </w:r>
      <w:proofErr w:type="spellStart"/>
      <w:r w:rsidRPr="00370F0D">
        <w:rPr>
          <w:rFonts w:ascii="Times New Roman" w:hAnsi="Times New Roman" w:cs="Times New Roman"/>
          <w:sz w:val="18"/>
          <w:szCs w:val="18"/>
        </w:rPr>
        <w:t>Пляскина</w:t>
      </w:r>
      <w:proofErr w:type="spellEnd"/>
      <w:r w:rsidRPr="00370F0D">
        <w:rPr>
          <w:rFonts w:ascii="Times New Roman" w:hAnsi="Times New Roman" w:cs="Times New Roman"/>
          <w:sz w:val="18"/>
          <w:szCs w:val="18"/>
        </w:rPr>
        <w:t xml:space="preserve"> Н.И., Харитонова В.Н., </w:t>
      </w:r>
      <w:proofErr w:type="spellStart"/>
      <w:r w:rsidRPr="00370F0D">
        <w:rPr>
          <w:rFonts w:ascii="Times New Roman" w:hAnsi="Times New Roman" w:cs="Times New Roman"/>
          <w:sz w:val="18"/>
          <w:szCs w:val="18"/>
        </w:rPr>
        <w:t>Вижина</w:t>
      </w:r>
      <w:proofErr w:type="spellEnd"/>
      <w:r w:rsidRPr="00370F0D">
        <w:rPr>
          <w:rFonts w:ascii="Times New Roman" w:hAnsi="Times New Roman" w:cs="Times New Roman"/>
          <w:sz w:val="18"/>
          <w:szCs w:val="18"/>
        </w:rPr>
        <w:t xml:space="preserve"> И.А. Формирование механизмов государственной </w:t>
      </w:r>
      <w:r w:rsidRPr="00370F0D">
        <w:rPr>
          <w:rFonts w:ascii="Times New Roman" w:hAnsi="Times New Roman" w:cs="Times New Roman"/>
          <w:bCs/>
          <w:sz w:val="18"/>
          <w:szCs w:val="18"/>
        </w:rPr>
        <w:t xml:space="preserve">поддержки </w:t>
      </w:r>
      <w:r w:rsidRPr="00370F0D">
        <w:rPr>
          <w:rFonts w:ascii="Times New Roman" w:hAnsi="Times New Roman" w:cs="Times New Roman"/>
          <w:sz w:val="18"/>
          <w:szCs w:val="18"/>
        </w:rPr>
        <w:t xml:space="preserve">нефтегазохимических кластеров Восточной Сибири и республики Саха (Якутия) // Регион: экономика и социология. - 2013. - № 4. - С. 121- 140. </w:t>
      </w:r>
    </w:p>
    <w:p w:rsidR="00370F0D" w:rsidRPr="00370F0D" w:rsidRDefault="00370F0D" w:rsidP="00802BC2">
      <w:pPr>
        <w:pStyle w:val="a5"/>
        <w:jc w:val="both"/>
        <w:rPr>
          <w:sz w:val="18"/>
          <w:szCs w:val="18"/>
          <w:lang w:val="ru-RU"/>
        </w:rPr>
      </w:pPr>
      <w:bookmarkStart w:id="0" w:name="_GoBack"/>
      <w:bookmarkEnd w:id="0"/>
    </w:p>
    <w:sectPr w:rsidR="00370F0D" w:rsidRPr="00370F0D" w:rsidSect="00F927C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554" w:rsidRDefault="00A10554" w:rsidP="00AA342A">
      <w:pPr>
        <w:spacing w:after="0" w:line="240" w:lineRule="auto"/>
      </w:pPr>
      <w:r>
        <w:separator/>
      </w:r>
    </w:p>
  </w:endnote>
  <w:endnote w:type="continuationSeparator" w:id="0">
    <w:p w:rsidR="00A10554" w:rsidRDefault="00A10554" w:rsidP="00AA3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554" w:rsidRDefault="00A10554" w:rsidP="00AA342A">
      <w:pPr>
        <w:spacing w:after="0" w:line="240" w:lineRule="auto"/>
      </w:pPr>
      <w:r>
        <w:separator/>
      </w:r>
    </w:p>
  </w:footnote>
  <w:footnote w:type="continuationSeparator" w:id="0">
    <w:p w:rsidR="00A10554" w:rsidRDefault="00A10554" w:rsidP="00AA342A">
      <w:pPr>
        <w:spacing w:after="0" w:line="240" w:lineRule="auto"/>
      </w:pPr>
      <w:r>
        <w:continuationSeparator/>
      </w:r>
    </w:p>
  </w:footnote>
  <w:footnote w:id="1">
    <w:p w:rsidR="00A66D28" w:rsidRPr="00A66D28" w:rsidRDefault="00A66D28" w:rsidP="00A66D28">
      <w:pPr>
        <w:pStyle w:val="a8"/>
        <w:jc w:val="both"/>
        <w:rPr>
          <w:sz w:val="18"/>
          <w:szCs w:val="18"/>
        </w:rPr>
      </w:pPr>
      <w:r>
        <w:rPr>
          <w:rStyle w:val="aa"/>
        </w:rPr>
        <w:footnoteRef/>
      </w:r>
      <w:r>
        <w:t xml:space="preserve"> </w:t>
      </w:r>
      <w:proofErr w:type="spellStart"/>
      <w:r w:rsidRPr="00A66D28">
        <w:rPr>
          <w:sz w:val="18"/>
          <w:szCs w:val="18"/>
        </w:rPr>
        <w:t>Мегапроекты</w:t>
      </w:r>
      <w:proofErr w:type="spellEnd"/>
      <w:r w:rsidRPr="00A66D28">
        <w:rPr>
          <w:sz w:val="18"/>
          <w:szCs w:val="18"/>
        </w:rPr>
        <w:t xml:space="preserve"> представляют собой единый системно организованный комплекс проектов взаимосвязанных отраслей, размещаемых на обширных территориях, охватывающих несколько субъектов Федерации, </w:t>
      </w:r>
      <w:r w:rsidRPr="00A66D28">
        <w:rPr>
          <w:color w:val="000000"/>
          <w:sz w:val="18"/>
          <w:szCs w:val="18"/>
        </w:rPr>
        <w:t>имеющих общегосударственное значение, большую стоимость и значительное количество участников.</w:t>
      </w:r>
    </w:p>
    <w:p w:rsidR="00A66D28" w:rsidRPr="00A66D28" w:rsidRDefault="00A66D28">
      <w:pPr>
        <w:pStyle w:val="a8"/>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91DC1"/>
    <w:multiLevelType w:val="hybridMultilevel"/>
    <w:tmpl w:val="35C67EFA"/>
    <w:lvl w:ilvl="0" w:tplc="4BAA2666">
      <w:start w:val="1"/>
      <w:numFmt w:val="bullet"/>
      <w:lvlText w:val=""/>
      <w:lvlJc w:val="left"/>
      <w:pPr>
        <w:tabs>
          <w:tab w:val="num" w:pos="720"/>
        </w:tabs>
        <w:ind w:left="720" w:hanging="360"/>
      </w:pPr>
      <w:rPr>
        <w:rFonts w:ascii="Wingdings" w:hAnsi="Wingdings" w:hint="default"/>
      </w:rPr>
    </w:lvl>
    <w:lvl w:ilvl="1" w:tplc="8B3A94A0">
      <w:start w:val="1"/>
      <w:numFmt w:val="bullet"/>
      <w:lvlText w:val=""/>
      <w:lvlJc w:val="left"/>
      <w:pPr>
        <w:tabs>
          <w:tab w:val="num" w:pos="1440"/>
        </w:tabs>
        <w:ind w:left="1440" w:hanging="360"/>
      </w:pPr>
      <w:rPr>
        <w:rFonts w:ascii="Wingdings" w:hAnsi="Wingdings" w:hint="default"/>
      </w:rPr>
    </w:lvl>
    <w:lvl w:ilvl="2" w:tplc="20EED350" w:tentative="1">
      <w:start w:val="1"/>
      <w:numFmt w:val="bullet"/>
      <w:lvlText w:val=""/>
      <w:lvlJc w:val="left"/>
      <w:pPr>
        <w:tabs>
          <w:tab w:val="num" w:pos="2160"/>
        </w:tabs>
        <w:ind w:left="2160" w:hanging="360"/>
      </w:pPr>
      <w:rPr>
        <w:rFonts w:ascii="Wingdings" w:hAnsi="Wingdings" w:hint="default"/>
      </w:rPr>
    </w:lvl>
    <w:lvl w:ilvl="3" w:tplc="62DA9B90" w:tentative="1">
      <w:start w:val="1"/>
      <w:numFmt w:val="bullet"/>
      <w:lvlText w:val=""/>
      <w:lvlJc w:val="left"/>
      <w:pPr>
        <w:tabs>
          <w:tab w:val="num" w:pos="2880"/>
        </w:tabs>
        <w:ind w:left="2880" w:hanging="360"/>
      </w:pPr>
      <w:rPr>
        <w:rFonts w:ascii="Wingdings" w:hAnsi="Wingdings" w:hint="default"/>
      </w:rPr>
    </w:lvl>
    <w:lvl w:ilvl="4" w:tplc="4934B058" w:tentative="1">
      <w:start w:val="1"/>
      <w:numFmt w:val="bullet"/>
      <w:lvlText w:val=""/>
      <w:lvlJc w:val="left"/>
      <w:pPr>
        <w:tabs>
          <w:tab w:val="num" w:pos="3600"/>
        </w:tabs>
        <w:ind w:left="3600" w:hanging="360"/>
      </w:pPr>
      <w:rPr>
        <w:rFonts w:ascii="Wingdings" w:hAnsi="Wingdings" w:hint="default"/>
      </w:rPr>
    </w:lvl>
    <w:lvl w:ilvl="5" w:tplc="B5B6874E" w:tentative="1">
      <w:start w:val="1"/>
      <w:numFmt w:val="bullet"/>
      <w:lvlText w:val=""/>
      <w:lvlJc w:val="left"/>
      <w:pPr>
        <w:tabs>
          <w:tab w:val="num" w:pos="4320"/>
        </w:tabs>
        <w:ind w:left="4320" w:hanging="360"/>
      </w:pPr>
      <w:rPr>
        <w:rFonts w:ascii="Wingdings" w:hAnsi="Wingdings" w:hint="default"/>
      </w:rPr>
    </w:lvl>
    <w:lvl w:ilvl="6" w:tplc="1C846F7E" w:tentative="1">
      <w:start w:val="1"/>
      <w:numFmt w:val="bullet"/>
      <w:lvlText w:val=""/>
      <w:lvlJc w:val="left"/>
      <w:pPr>
        <w:tabs>
          <w:tab w:val="num" w:pos="5040"/>
        </w:tabs>
        <w:ind w:left="5040" w:hanging="360"/>
      </w:pPr>
      <w:rPr>
        <w:rFonts w:ascii="Wingdings" w:hAnsi="Wingdings" w:hint="default"/>
      </w:rPr>
    </w:lvl>
    <w:lvl w:ilvl="7" w:tplc="B0E25230" w:tentative="1">
      <w:start w:val="1"/>
      <w:numFmt w:val="bullet"/>
      <w:lvlText w:val=""/>
      <w:lvlJc w:val="left"/>
      <w:pPr>
        <w:tabs>
          <w:tab w:val="num" w:pos="5760"/>
        </w:tabs>
        <w:ind w:left="5760" w:hanging="360"/>
      </w:pPr>
      <w:rPr>
        <w:rFonts w:ascii="Wingdings" w:hAnsi="Wingdings" w:hint="default"/>
      </w:rPr>
    </w:lvl>
    <w:lvl w:ilvl="8" w:tplc="7B86681E" w:tentative="1">
      <w:start w:val="1"/>
      <w:numFmt w:val="bullet"/>
      <w:lvlText w:val=""/>
      <w:lvlJc w:val="left"/>
      <w:pPr>
        <w:tabs>
          <w:tab w:val="num" w:pos="6480"/>
        </w:tabs>
        <w:ind w:left="6480" w:hanging="360"/>
      </w:pPr>
      <w:rPr>
        <w:rFonts w:ascii="Wingdings" w:hAnsi="Wingdings" w:hint="default"/>
      </w:rPr>
    </w:lvl>
  </w:abstractNum>
  <w:abstractNum w:abstractNumId="1">
    <w:nsid w:val="4E12587C"/>
    <w:multiLevelType w:val="hybridMultilevel"/>
    <w:tmpl w:val="9D9006CE"/>
    <w:lvl w:ilvl="0" w:tplc="04190005">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
    <w:nsid w:val="55020691"/>
    <w:multiLevelType w:val="hybridMultilevel"/>
    <w:tmpl w:val="40A2E5CE"/>
    <w:lvl w:ilvl="0" w:tplc="04190009">
      <w:start w:val="1"/>
      <w:numFmt w:val="bullet"/>
      <w:lvlText w:val=""/>
      <w:lvlJc w:val="left"/>
      <w:pPr>
        <w:tabs>
          <w:tab w:val="num" w:pos="1778"/>
        </w:tabs>
        <w:ind w:left="1778" w:hanging="360"/>
      </w:pPr>
      <w:rPr>
        <w:rFonts w:ascii="Wingdings" w:hAnsi="Wingdings" w:hint="default"/>
      </w:rPr>
    </w:lvl>
    <w:lvl w:ilvl="1" w:tplc="04190003" w:tentative="1">
      <w:start w:val="1"/>
      <w:numFmt w:val="bullet"/>
      <w:lvlText w:val="o"/>
      <w:lvlJc w:val="left"/>
      <w:pPr>
        <w:tabs>
          <w:tab w:val="num" w:pos="2498"/>
        </w:tabs>
        <w:ind w:left="2498" w:hanging="360"/>
      </w:pPr>
      <w:rPr>
        <w:rFonts w:ascii="Courier New" w:hAnsi="Courier New" w:hint="default"/>
      </w:rPr>
    </w:lvl>
    <w:lvl w:ilvl="2" w:tplc="04190005" w:tentative="1">
      <w:start w:val="1"/>
      <w:numFmt w:val="bullet"/>
      <w:lvlText w:val=""/>
      <w:lvlJc w:val="left"/>
      <w:pPr>
        <w:tabs>
          <w:tab w:val="num" w:pos="3218"/>
        </w:tabs>
        <w:ind w:left="3218" w:hanging="360"/>
      </w:pPr>
      <w:rPr>
        <w:rFonts w:ascii="Wingdings" w:hAnsi="Wingdings" w:hint="default"/>
      </w:rPr>
    </w:lvl>
    <w:lvl w:ilvl="3" w:tplc="04190001" w:tentative="1">
      <w:start w:val="1"/>
      <w:numFmt w:val="bullet"/>
      <w:lvlText w:val=""/>
      <w:lvlJc w:val="left"/>
      <w:pPr>
        <w:tabs>
          <w:tab w:val="num" w:pos="3938"/>
        </w:tabs>
        <w:ind w:left="3938" w:hanging="360"/>
      </w:pPr>
      <w:rPr>
        <w:rFonts w:ascii="Symbol" w:hAnsi="Symbol" w:hint="default"/>
      </w:rPr>
    </w:lvl>
    <w:lvl w:ilvl="4" w:tplc="04190003" w:tentative="1">
      <w:start w:val="1"/>
      <w:numFmt w:val="bullet"/>
      <w:lvlText w:val="o"/>
      <w:lvlJc w:val="left"/>
      <w:pPr>
        <w:tabs>
          <w:tab w:val="num" w:pos="4658"/>
        </w:tabs>
        <w:ind w:left="4658" w:hanging="360"/>
      </w:pPr>
      <w:rPr>
        <w:rFonts w:ascii="Courier New" w:hAnsi="Courier New" w:hint="default"/>
      </w:rPr>
    </w:lvl>
    <w:lvl w:ilvl="5" w:tplc="04190005" w:tentative="1">
      <w:start w:val="1"/>
      <w:numFmt w:val="bullet"/>
      <w:lvlText w:val=""/>
      <w:lvlJc w:val="left"/>
      <w:pPr>
        <w:tabs>
          <w:tab w:val="num" w:pos="5378"/>
        </w:tabs>
        <w:ind w:left="5378" w:hanging="360"/>
      </w:pPr>
      <w:rPr>
        <w:rFonts w:ascii="Wingdings" w:hAnsi="Wingdings" w:hint="default"/>
      </w:rPr>
    </w:lvl>
    <w:lvl w:ilvl="6" w:tplc="04190001" w:tentative="1">
      <w:start w:val="1"/>
      <w:numFmt w:val="bullet"/>
      <w:lvlText w:val=""/>
      <w:lvlJc w:val="left"/>
      <w:pPr>
        <w:tabs>
          <w:tab w:val="num" w:pos="6098"/>
        </w:tabs>
        <w:ind w:left="6098" w:hanging="360"/>
      </w:pPr>
      <w:rPr>
        <w:rFonts w:ascii="Symbol" w:hAnsi="Symbol" w:hint="default"/>
      </w:rPr>
    </w:lvl>
    <w:lvl w:ilvl="7" w:tplc="04190003" w:tentative="1">
      <w:start w:val="1"/>
      <w:numFmt w:val="bullet"/>
      <w:lvlText w:val="o"/>
      <w:lvlJc w:val="left"/>
      <w:pPr>
        <w:tabs>
          <w:tab w:val="num" w:pos="6818"/>
        </w:tabs>
        <w:ind w:left="6818" w:hanging="360"/>
      </w:pPr>
      <w:rPr>
        <w:rFonts w:ascii="Courier New" w:hAnsi="Courier New" w:hint="default"/>
      </w:rPr>
    </w:lvl>
    <w:lvl w:ilvl="8" w:tplc="04190005" w:tentative="1">
      <w:start w:val="1"/>
      <w:numFmt w:val="bullet"/>
      <w:lvlText w:val=""/>
      <w:lvlJc w:val="left"/>
      <w:pPr>
        <w:tabs>
          <w:tab w:val="num" w:pos="7538"/>
        </w:tabs>
        <w:ind w:left="753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0ED"/>
    <w:rsid w:val="000210ED"/>
    <w:rsid w:val="00117860"/>
    <w:rsid w:val="001B0FCA"/>
    <w:rsid w:val="001F36B8"/>
    <w:rsid w:val="003414A0"/>
    <w:rsid w:val="00363AC0"/>
    <w:rsid w:val="00370F0D"/>
    <w:rsid w:val="003E3E45"/>
    <w:rsid w:val="003F78DF"/>
    <w:rsid w:val="00493CBA"/>
    <w:rsid w:val="00552213"/>
    <w:rsid w:val="005B1174"/>
    <w:rsid w:val="006801A2"/>
    <w:rsid w:val="00686161"/>
    <w:rsid w:val="00695B2E"/>
    <w:rsid w:val="0070448C"/>
    <w:rsid w:val="007C1095"/>
    <w:rsid w:val="007E4650"/>
    <w:rsid w:val="00802BC2"/>
    <w:rsid w:val="00856AE2"/>
    <w:rsid w:val="008A2BBE"/>
    <w:rsid w:val="008D2CB0"/>
    <w:rsid w:val="00900077"/>
    <w:rsid w:val="009613A8"/>
    <w:rsid w:val="009636D0"/>
    <w:rsid w:val="00971FF1"/>
    <w:rsid w:val="00A10554"/>
    <w:rsid w:val="00A66D28"/>
    <w:rsid w:val="00A900F4"/>
    <w:rsid w:val="00AA342A"/>
    <w:rsid w:val="00AB6C85"/>
    <w:rsid w:val="00B208C7"/>
    <w:rsid w:val="00BA6DB2"/>
    <w:rsid w:val="00C614AA"/>
    <w:rsid w:val="00CA2F4B"/>
    <w:rsid w:val="00DE5BF2"/>
    <w:rsid w:val="00F927C0"/>
    <w:rsid w:val="00FA7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210ED"/>
    <w:rPr>
      <w:color w:val="0000FF"/>
      <w:u w:val="single"/>
    </w:rPr>
  </w:style>
  <w:style w:type="paragraph" w:customStyle="1" w:styleId="Normal1">
    <w:name w:val="Normal1"/>
    <w:link w:val="Normal1Char"/>
    <w:rsid w:val="000210ED"/>
    <w:pPr>
      <w:spacing w:after="0" w:line="240" w:lineRule="auto"/>
    </w:pPr>
    <w:rPr>
      <w:rFonts w:ascii="Times New Roman" w:eastAsia="Times New Roman" w:hAnsi="Times New Roman" w:cs="Times New Roman"/>
      <w:sz w:val="20"/>
      <w:szCs w:val="20"/>
      <w:lang w:val="en-US" w:eastAsia="ru-RU"/>
    </w:rPr>
  </w:style>
  <w:style w:type="character" w:customStyle="1" w:styleId="Normal1Char">
    <w:name w:val="Normal1 Char"/>
    <w:basedOn w:val="a0"/>
    <w:link w:val="Normal1"/>
    <w:rsid w:val="000210ED"/>
    <w:rPr>
      <w:rFonts w:ascii="Times New Roman" w:eastAsia="Times New Roman" w:hAnsi="Times New Roman" w:cs="Times New Roman"/>
      <w:sz w:val="20"/>
      <w:szCs w:val="20"/>
      <w:lang w:val="en-US" w:eastAsia="ru-RU"/>
    </w:rPr>
  </w:style>
  <w:style w:type="paragraph" w:customStyle="1" w:styleId="a4">
    <w:name w:val=" Знак Знак Знак Знак"/>
    <w:basedOn w:val="a"/>
    <w:rsid w:val="000210ED"/>
    <w:pPr>
      <w:spacing w:after="160" w:line="240" w:lineRule="exact"/>
    </w:pPr>
    <w:rPr>
      <w:rFonts w:ascii="Verdana" w:eastAsia="Times New Roman" w:hAnsi="Verdana" w:cs="Verdana"/>
      <w:sz w:val="20"/>
      <w:szCs w:val="20"/>
      <w:lang w:val="en-US"/>
    </w:rPr>
  </w:style>
  <w:style w:type="paragraph" w:styleId="a5">
    <w:name w:val="Normal (Web)"/>
    <w:basedOn w:val="a"/>
    <w:rsid w:val="0070448C"/>
    <w:pPr>
      <w:spacing w:after="0" w:line="240" w:lineRule="auto"/>
    </w:pPr>
    <w:rPr>
      <w:rFonts w:ascii="Times New Roman" w:eastAsia="Calibri" w:hAnsi="Times New Roman" w:cs="Times New Roman"/>
      <w:sz w:val="24"/>
      <w:szCs w:val="24"/>
      <w:lang w:val="en-US" w:eastAsia="ru-RU"/>
    </w:rPr>
  </w:style>
  <w:style w:type="paragraph" w:styleId="a6">
    <w:name w:val="Body Text Indent"/>
    <w:aliases w:val="Основной текст 1,Основной текст 11,Основной текст 12,Основной текст 13,Основной текст 14,Основной текст 111,Основной текст 121,Основной текст 131,Основной текст 15,Основной текст 16,Основной текст 17"/>
    <w:basedOn w:val="a"/>
    <w:link w:val="a7"/>
    <w:rsid w:val="00DE5BF2"/>
    <w:pPr>
      <w:spacing w:after="120" w:line="240" w:lineRule="auto"/>
      <w:ind w:left="283"/>
    </w:pPr>
    <w:rPr>
      <w:rFonts w:ascii="Times New Roman" w:eastAsia="Calibri" w:hAnsi="Times New Roman" w:cs="Times New Roman"/>
      <w:sz w:val="24"/>
      <w:szCs w:val="24"/>
      <w:lang w:eastAsia="ru-RU"/>
    </w:rPr>
  </w:style>
  <w:style w:type="character" w:customStyle="1" w:styleId="a7">
    <w:name w:val="Основной текст с отступом Знак"/>
    <w:aliases w:val="Основной текст 1 Знак,Основной текст 11 Знак,Основной текст 12 Знак,Основной текст 13 Знак,Основной текст 14 Знак,Основной текст 111 Знак,Основной текст 121 Знак,Основной текст 131 Знак,Основной текст 15 Знак"/>
    <w:basedOn w:val="a0"/>
    <w:link w:val="a6"/>
    <w:rsid w:val="00DE5BF2"/>
    <w:rPr>
      <w:rFonts w:ascii="Times New Roman" w:eastAsia="Calibri" w:hAnsi="Times New Roman" w:cs="Times New Roman"/>
      <w:sz w:val="24"/>
      <w:szCs w:val="24"/>
      <w:lang w:eastAsia="ru-RU"/>
    </w:rPr>
  </w:style>
  <w:style w:type="paragraph" w:styleId="a8">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ак1,Знак,Зн, Знак1"/>
    <w:basedOn w:val="a"/>
    <w:link w:val="a9"/>
    <w:rsid w:val="00AA342A"/>
    <w:pPr>
      <w:spacing w:after="0" w:line="240" w:lineRule="auto"/>
    </w:pPr>
    <w:rPr>
      <w:rFonts w:ascii="Times New Roman" w:eastAsia="Calibri" w:hAnsi="Times New Roman" w:cs="Times New Roman"/>
      <w:sz w:val="20"/>
      <w:szCs w:val="20"/>
      <w:lang w:eastAsia="ru-RU"/>
    </w:rPr>
  </w:style>
  <w:style w:type="character" w:customStyle="1" w:styleId="a9">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0"/>
    <w:link w:val="a8"/>
    <w:rsid w:val="00AA342A"/>
    <w:rPr>
      <w:rFonts w:ascii="Times New Roman" w:eastAsia="Calibri" w:hAnsi="Times New Roman" w:cs="Times New Roman"/>
      <w:sz w:val="20"/>
      <w:szCs w:val="20"/>
      <w:lang w:eastAsia="ru-RU"/>
    </w:rPr>
  </w:style>
  <w:style w:type="character" w:styleId="aa">
    <w:name w:val="footnote reference"/>
    <w:semiHidden/>
    <w:rsid w:val="00AA342A"/>
    <w:rPr>
      <w:rFonts w:cs="Times New Roman"/>
      <w:vertAlign w:val="superscript"/>
    </w:rPr>
  </w:style>
  <w:style w:type="character" w:customStyle="1" w:styleId="c1">
    <w:name w:val="c1"/>
    <w:rsid w:val="008D2CB0"/>
    <w:rPr>
      <w:rFonts w:cs="Times New Roman"/>
    </w:rPr>
  </w:style>
  <w:style w:type="character" w:styleId="ab">
    <w:name w:val="Strong"/>
    <w:qFormat/>
    <w:rsid w:val="008D2CB0"/>
    <w:rPr>
      <w:rFonts w:cs="Times New Roman"/>
      <w:b/>
    </w:rPr>
  </w:style>
  <w:style w:type="paragraph" w:styleId="ac">
    <w:name w:val="Balloon Text"/>
    <w:basedOn w:val="a"/>
    <w:link w:val="ad"/>
    <w:uiPriority w:val="99"/>
    <w:semiHidden/>
    <w:unhideWhenUsed/>
    <w:rsid w:val="008D2CB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D2CB0"/>
    <w:rPr>
      <w:rFonts w:ascii="Tahoma" w:hAnsi="Tahoma" w:cs="Tahoma"/>
      <w:sz w:val="16"/>
      <w:szCs w:val="16"/>
    </w:rPr>
  </w:style>
  <w:style w:type="paragraph" w:styleId="ae">
    <w:name w:val="List Paragraph"/>
    <w:basedOn w:val="a"/>
    <w:uiPriority w:val="34"/>
    <w:qFormat/>
    <w:rsid w:val="00CA2F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210ED"/>
    <w:rPr>
      <w:color w:val="0000FF"/>
      <w:u w:val="single"/>
    </w:rPr>
  </w:style>
  <w:style w:type="paragraph" w:customStyle="1" w:styleId="Normal1">
    <w:name w:val="Normal1"/>
    <w:link w:val="Normal1Char"/>
    <w:rsid w:val="000210ED"/>
    <w:pPr>
      <w:spacing w:after="0" w:line="240" w:lineRule="auto"/>
    </w:pPr>
    <w:rPr>
      <w:rFonts w:ascii="Times New Roman" w:eastAsia="Times New Roman" w:hAnsi="Times New Roman" w:cs="Times New Roman"/>
      <w:sz w:val="20"/>
      <w:szCs w:val="20"/>
      <w:lang w:val="en-US" w:eastAsia="ru-RU"/>
    </w:rPr>
  </w:style>
  <w:style w:type="character" w:customStyle="1" w:styleId="Normal1Char">
    <w:name w:val="Normal1 Char"/>
    <w:basedOn w:val="a0"/>
    <w:link w:val="Normal1"/>
    <w:rsid w:val="000210ED"/>
    <w:rPr>
      <w:rFonts w:ascii="Times New Roman" w:eastAsia="Times New Roman" w:hAnsi="Times New Roman" w:cs="Times New Roman"/>
      <w:sz w:val="20"/>
      <w:szCs w:val="20"/>
      <w:lang w:val="en-US" w:eastAsia="ru-RU"/>
    </w:rPr>
  </w:style>
  <w:style w:type="paragraph" w:customStyle="1" w:styleId="a4">
    <w:name w:val=" Знак Знак Знак Знак"/>
    <w:basedOn w:val="a"/>
    <w:rsid w:val="000210ED"/>
    <w:pPr>
      <w:spacing w:after="160" w:line="240" w:lineRule="exact"/>
    </w:pPr>
    <w:rPr>
      <w:rFonts w:ascii="Verdana" w:eastAsia="Times New Roman" w:hAnsi="Verdana" w:cs="Verdana"/>
      <w:sz w:val="20"/>
      <w:szCs w:val="20"/>
      <w:lang w:val="en-US"/>
    </w:rPr>
  </w:style>
  <w:style w:type="paragraph" w:styleId="a5">
    <w:name w:val="Normal (Web)"/>
    <w:basedOn w:val="a"/>
    <w:rsid w:val="0070448C"/>
    <w:pPr>
      <w:spacing w:after="0" w:line="240" w:lineRule="auto"/>
    </w:pPr>
    <w:rPr>
      <w:rFonts w:ascii="Times New Roman" w:eastAsia="Calibri" w:hAnsi="Times New Roman" w:cs="Times New Roman"/>
      <w:sz w:val="24"/>
      <w:szCs w:val="24"/>
      <w:lang w:val="en-US" w:eastAsia="ru-RU"/>
    </w:rPr>
  </w:style>
  <w:style w:type="paragraph" w:styleId="a6">
    <w:name w:val="Body Text Indent"/>
    <w:aliases w:val="Основной текст 1,Основной текст 11,Основной текст 12,Основной текст 13,Основной текст 14,Основной текст 111,Основной текст 121,Основной текст 131,Основной текст 15,Основной текст 16,Основной текст 17"/>
    <w:basedOn w:val="a"/>
    <w:link w:val="a7"/>
    <w:rsid w:val="00DE5BF2"/>
    <w:pPr>
      <w:spacing w:after="120" w:line="240" w:lineRule="auto"/>
      <w:ind w:left="283"/>
    </w:pPr>
    <w:rPr>
      <w:rFonts w:ascii="Times New Roman" w:eastAsia="Calibri" w:hAnsi="Times New Roman" w:cs="Times New Roman"/>
      <w:sz w:val="24"/>
      <w:szCs w:val="24"/>
      <w:lang w:eastAsia="ru-RU"/>
    </w:rPr>
  </w:style>
  <w:style w:type="character" w:customStyle="1" w:styleId="a7">
    <w:name w:val="Основной текст с отступом Знак"/>
    <w:aliases w:val="Основной текст 1 Знак,Основной текст 11 Знак,Основной текст 12 Знак,Основной текст 13 Знак,Основной текст 14 Знак,Основной текст 111 Знак,Основной текст 121 Знак,Основной текст 131 Знак,Основной текст 15 Знак"/>
    <w:basedOn w:val="a0"/>
    <w:link w:val="a6"/>
    <w:rsid w:val="00DE5BF2"/>
    <w:rPr>
      <w:rFonts w:ascii="Times New Roman" w:eastAsia="Calibri" w:hAnsi="Times New Roman" w:cs="Times New Roman"/>
      <w:sz w:val="24"/>
      <w:szCs w:val="24"/>
      <w:lang w:eastAsia="ru-RU"/>
    </w:rPr>
  </w:style>
  <w:style w:type="paragraph" w:styleId="a8">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ак1,Знак,Зн, Знак1"/>
    <w:basedOn w:val="a"/>
    <w:link w:val="a9"/>
    <w:rsid w:val="00AA342A"/>
    <w:pPr>
      <w:spacing w:after="0" w:line="240" w:lineRule="auto"/>
    </w:pPr>
    <w:rPr>
      <w:rFonts w:ascii="Times New Roman" w:eastAsia="Calibri" w:hAnsi="Times New Roman" w:cs="Times New Roman"/>
      <w:sz w:val="20"/>
      <w:szCs w:val="20"/>
      <w:lang w:eastAsia="ru-RU"/>
    </w:rPr>
  </w:style>
  <w:style w:type="character" w:customStyle="1" w:styleId="a9">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0"/>
    <w:link w:val="a8"/>
    <w:rsid w:val="00AA342A"/>
    <w:rPr>
      <w:rFonts w:ascii="Times New Roman" w:eastAsia="Calibri" w:hAnsi="Times New Roman" w:cs="Times New Roman"/>
      <w:sz w:val="20"/>
      <w:szCs w:val="20"/>
      <w:lang w:eastAsia="ru-RU"/>
    </w:rPr>
  </w:style>
  <w:style w:type="character" w:styleId="aa">
    <w:name w:val="footnote reference"/>
    <w:semiHidden/>
    <w:rsid w:val="00AA342A"/>
    <w:rPr>
      <w:rFonts w:cs="Times New Roman"/>
      <w:vertAlign w:val="superscript"/>
    </w:rPr>
  </w:style>
  <w:style w:type="character" w:customStyle="1" w:styleId="c1">
    <w:name w:val="c1"/>
    <w:rsid w:val="008D2CB0"/>
    <w:rPr>
      <w:rFonts w:cs="Times New Roman"/>
    </w:rPr>
  </w:style>
  <w:style w:type="character" w:styleId="ab">
    <w:name w:val="Strong"/>
    <w:qFormat/>
    <w:rsid w:val="008D2CB0"/>
    <w:rPr>
      <w:rFonts w:cs="Times New Roman"/>
      <w:b/>
    </w:rPr>
  </w:style>
  <w:style w:type="paragraph" w:styleId="ac">
    <w:name w:val="Balloon Text"/>
    <w:basedOn w:val="a"/>
    <w:link w:val="ad"/>
    <w:uiPriority w:val="99"/>
    <w:semiHidden/>
    <w:unhideWhenUsed/>
    <w:rsid w:val="008D2CB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D2CB0"/>
    <w:rPr>
      <w:rFonts w:ascii="Tahoma" w:hAnsi="Tahoma" w:cs="Tahoma"/>
      <w:sz w:val="16"/>
      <w:szCs w:val="16"/>
    </w:rPr>
  </w:style>
  <w:style w:type="paragraph" w:styleId="ae">
    <w:name w:val="List Paragraph"/>
    <w:basedOn w:val="a"/>
    <w:uiPriority w:val="34"/>
    <w:qFormat/>
    <w:rsid w:val="00CA2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td.ru/1000002845.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ra@ieie.nsc.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harit@ieie.nsc.ru" TargetMode="External"/><Relationship Id="rId4" Type="http://schemas.microsoft.com/office/2007/relationships/stylesWithEffects" Target="stylesWithEffects.xml"/><Relationship Id="rId9" Type="http://schemas.openxmlformats.org/officeDocument/2006/relationships/hyperlink" Target="mailto:pliaskina@hotmail.com" TargetMode="External"/><Relationship Id="rId14" Type="http://schemas.openxmlformats.org/officeDocument/2006/relationships/hyperlink" Target="http://minenergo.gov.ru/activity/oilgas/petrochemical_branch/" TargetMode="External"/></Relationships>
</file>

<file path=word/charts/_rels/chart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oleObject" Target="file:///D:\users\&#1057;&#1090;&#1072;&#1090;&#1100;&#1103;%20&#1089;&#1077;&#1090;&#1100;%202013\&#1088;&#1080;&#1089;.%201%20&#1080;%20&#1088;&#1080;&#1089;.%202%20&#1089;&#1090;&#1072;&#1090;&#1100;&#1103;%20&#1055;&#1083;&#1103;&#1089;&#1082;&#1080;&#1085;&#1086;&#1081;,%20&#1061;&#1072;&#1088;&#1080;&#1090;&#1086;&#1085;&#1086;&#1074;&#1086;&#1081;,%20&#1042;&#1080;&#1078;&#1080;&#1085;&#1086;&#10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6550040140688"/>
          <c:y val="8.4342349768262437E-2"/>
          <c:w val="0.48278937007874023"/>
          <c:h val="0.82881087780694074"/>
        </c:manualLayout>
      </c:layout>
      <c:barChart>
        <c:barDir val="col"/>
        <c:grouping val="clustered"/>
        <c:varyColors val="0"/>
        <c:ser>
          <c:idx val="0"/>
          <c:order val="0"/>
          <c:tx>
            <c:strRef>
              <c:f>'D:\users\Статья сеть 2013\[Расчет эффективности ВСНГК 20.11.12.xlsx]Эффект. ВСНГК'!$A$157</c:f>
              <c:strCache>
                <c:ptCount val="1"/>
                <c:pt idx="0">
                  <c:v>ВСНГК</c:v>
                </c:pt>
              </c:strCache>
            </c:strRef>
          </c:tx>
          <c:spPr>
            <a:solidFill>
              <a:schemeClr val="tx1"/>
            </a:solidFill>
          </c:spPr>
          <c:invertIfNegative val="0"/>
          <c:cat>
            <c:strRef>
              <c:f>'D:\users\Статья сеть 2013\[Расчет эффективности ВСНГК 20.11.12.xlsx]Эффект. ВСНГК'!$B$156:$E$156</c:f>
              <c:strCache>
                <c:ptCount val="4"/>
                <c:pt idx="0">
                  <c:v>2011-2015</c:v>
                </c:pt>
                <c:pt idx="1">
                  <c:v>2016-2020</c:v>
                </c:pt>
                <c:pt idx="2">
                  <c:v>2021-2025</c:v>
                </c:pt>
                <c:pt idx="3">
                  <c:v>2026-2030</c:v>
                </c:pt>
              </c:strCache>
            </c:strRef>
          </c:cat>
          <c:val>
            <c:numRef>
              <c:f>'D:\users\Статья сеть 2013\[Расчет эффективности ВСНГК 20.11.12.xlsx]Эффект. ВСНГК'!$B$157:$E$157</c:f>
              <c:numCache>
                <c:formatCode>General</c:formatCode>
                <c:ptCount val="4"/>
                <c:pt idx="0">
                  <c:v>-25470</c:v>
                </c:pt>
                <c:pt idx="1">
                  <c:v>32148.5</c:v>
                </c:pt>
                <c:pt idx="2">
                  <c:v>109305</c:v>
                </c:pt>
                <c:pt idx="3">
                  <c:v>159329</c:v>
                </c:pt>
              </c:numCache>
            </c:numRef>
          </c:val>
        </c:ser>
        <c:ser>
          <c:idx val="1"/>
          <c:order val="1"/>
          <c:tx>
            <c:strRef>
              <c:f>'D:\users\Статья сеть 2013\[Расчет эффективности ВСНГК 20.11.12.xlsx]Эффект. ВСНГК'!$A$158</c:f>
              <c:strCache>
                <c:ptCount val="1"/>
                <c:pt idx="0">
                  <c:v>Нефтедобыча</c:v>
                </c:pt>
              </c:strCache>
            </c:strRef>
          </c:tx>
          <c:spPr>
            <a:blipFill>
              <a:blip xmlns:r="http://schemas.openxmlformats.org/officeDocument/2006/relationships" r:embed="rId1"/>
              <a:tile tx="0" ty="0" sx="100000" sy="100000" flip="none" algn="tl"/>
            </a:blipFill>
          </c:spPr>
          <c:invertIfNegative val="0"/>
          <c:cat>
            <c:strRef>
              <c:f>'D:\users\Статья сеть 2013\[Расчет эффективности ВСНГК 20.11.12.xlsx]Эффект. ВСНГК'!$B$156:$E$156</c:f>
              <c:strCache>
                <c:ptCount val="4"/>
                <c:pt idx="0">
                  <c:v>2011-2015</c:v>
                </c:pt>
                <c:pt idx="1">
                  <c:v>2016-2020</c:v>
                </c:pt>
                <c:pt idx="2">
                  <c:v>2021-2025</c:v>
                </c:pt>
                <c:pt idx="3">
                  <c:v>2026-2030</c:v>
                </c:pt>
              </c:strCache>
            </c:strRef>
          </c:cat>
          <c:val>
            <c:numRef>
              <c:f>'D:\users\Статья сеть 2013\[Расчет эффективности ВСНГК 20.11.12.xlsx]Эффект. ВСНГК'!$B$158:$E$158</c:f>
              <c:numCache>
                <c:formatCode>General</c:formatCode>
                <c:ptCount val="4"/>
                <c:pt idx="0">
                  <c:v>-13463</c:v>
                </c:pt>
                <c:pt idx="1">
                  <c:v>47509</c:v>
                </c:pt>
                <c:pt idx="2">
                  <c:v>67195</c:v>
                </c:pt>
                <c:pt idx="3">
                  <c:v>76370</c:v>
                </c:pt>
              </c:numCache>
            </c:numRef>
          </c:val>
        </c:ser>
        <c:ser>
          <c:idx val="2"/>
          <c:order val="2"/>
          <c:tx>
            <c:strRef>
              <c:f>'D:\users\Статья сеть 2013\[Расчет эффективности ВСНГК 20.11.12.xlsx]Эффект. ВСНГК'!$A$159</c:f>
              <c:strCache>
                <c:ptCount val="1"/>
                <c:pt idx="0">
                  <c:v>Газодобыча</c:v>
                </c:pt>
              </c:strCache>
            </c:strRef>
          </c:tx>
          <c:spPr>
            <a:blipFill>
              <a:blip xmlns:r="http://schemas.openxmlformats.org/officeDocument/2006/relationships" r:embed="rId2"/>
              <a:tile tx="0" ty="0" sx="100000" sy="100000" flip="none" algn="tl"/>
            </a:blipFill>
          </c:spPr>
          <c:invertIfNegative val="0"/>
          <c:cat>
            <c:strRef>
              <c:f>'D:\users\Статья сеть 2013\[Расчет эффективности ВСНГК 20.11.12.xlsx]Эффект. ВСНГК'!$B$156:$E$156</c:f>
              <c:strCache>
                <c:ptCount val="4"/>
                <c:pt idx="0">
                  <c:v>2011-2015</c:v>
                </c:pt>
                <c:pt idx="1">
                  <c:v>2016-2020</c:v>
                </c:pt>
                <c:pt idx="2">
                  <c:v>2021-2025</c:v>
                </c:pt>
                <c:pt idx="3">
                  <c:v>2026-2030</c:v>
                </c:pt>
              </c:strCache>
            </c:strRef>
          </c:cat>
          <c:val>
            <c:numRef>
              <c:f>'D:\users\Статья сеть 2013\[Расчет эффективности ВСНГК 20.11.12.xlsx]Эффект. ВСНГК'!$B$159:$E$159</c:f>
              <c:numCache>
                <c:formatCode>General</c:formatCode>
                <c:ptCount val="4"/>
                <c:pt idx="0">
                  <c:v>-11305</c:v>
                </c:pt>
                <c:pt idx="1">
                  <c:v>6270</c:v>
                </c:pt>
                <c:pt idx="2">
                  <c:v>35844</c:v>
                </c:pt>
                <c:pt idx="3">
                  <c:v>58930.2</c:v>
                </c:pt>
              </c:numCache>
            </c:numRef>
          </c:val>
        </c:ser>
        <c:ser>
          <c:idx val="3"/>
          <c:order val="3"/>
          <c:tx>
            <c:strRef>
              <c:f>'D:\users\Статья сеть 2013\[Расчет эффективности ВСНГК 20.11.12.xlsx]Эффект. ВСНГК'!$A$160</c:f>
              <c:strCache>
                <c:ptCount val="1"/>
                <c:pt idx="0">
                  <c:v>Газохимия и нефтехимия</c:v>
                </c:pt>
              </c:strCache>
            </c:strRef>
          </c:tx>
          <c:spPr>
            <a:blipFill>
              <a:blip xmlns:r="http://schemas.openxmlformats.org/officeDocument/2006/relationships" r:embed="rId3"/>
              <a:tile tx="0" ty="0" sx="100000" sy="100000" flip="none" algn="tl"/>
            </a:blipFill>
          </c:spPr>
          <c:invertIfNegative val="0"/>
          <c:cat>
            <c:strRef>
              <c:f>'D:\users\Статья сеть 2013\[Расчет эффективности ВСНГК 20.11.12.xlsx]Эффект. ВСНГК'!$B$156:$E$156</c:f>
              <c:strCache>
                <c:ptCount val="4"/>
                <c:pt idx="0">
                  <c:v>2011-2015</c:v>
                </c:pt>
                <c:pt idx="1">
                  <c:v>2016-2020</c:v>
                </c:pt>
                <c:pt idx="2">
                  <c:v>2021-2025</c:v>
                </c:pt>
                <c:pt idx="3">
                  <c:v>2026-2030</c:v>
                </c:pt>
              </c:strCache>
            </c:strRef>
          </c:cat>
          <c:val>
            <c:numRef>
              <c:f>'D:\users\Статья сеть 2013\[Расчет эффективности ВСНГК 20.11.12.xlsx]Эффект. ВСНГК'!$B$160:$E$160</c:f>
              <c:numCache>
                <c:formatCode>General</c:formatCode>
                <c:ptCount val="4"/>
                <c:pt idx="0">
                  <c:v>-230</c:v>
                </c:pt>
                <c:pt idx="1">
                  <c:v>-14419</c:v>
                </c:pt>
                <c:pt idx="2">
                  <c:v>2747</c:v>
                </c:pt>
                <c:pt idx="3">
                  <c:v>19885</c:v>
                </c:pt>
              </c:numCache>
            </c:numRef>
          </c:val>
        </c:ser>
        <c:ser>
          <c:idx val="4"/>
          <c:order val="4"/>
          <c:tx>
            <c:strRef>
              <c:f>'D:\users\Статья сеть 2013\[Расчет эффективности ВСНГК 20.11.12.xlsx]Эффект. ВСНГК'!$A$161</c:f>
              <c:strCache>
                <c:ptCount val="1"/>
                <c:pt idx="0">
                  <c:v>Нефтепереработка</c:v>
                </c:pt>
              </c:strCache>
            </c:strRef>
          </c:tx>
          <c:spPr>
            <a:solidFill>
              <a:schemeClr val="bg1">
                <a:lumMod val="50000"/>
              </a:schemeClr>
            </a:solidFill>
          </c:spPr>
          <c:invertIfNegative val="0"/>
          <c:dPt>
            <c:idx val="1"/>
            <c:invertIfNegative val="0"/>
            <c:bubble3D val="0"/>
          </c:dPt>
          <c:dPt>
            <c:idx val="2"/>
            <c:invertIfNegative val="0"/>
            <c:bubble3D val="0"/>
          </c:dPt>
          <c:dPt>
            <c:idx val="3"/>
            <c:invertIfNegative val="0"/>
            <c:bubble3D val="0"/>
          </c:dPt>
          <c:cat>
            <c:strRef>
              <c:f>'D:\users\Статья сеть 2013\[Расчет эффективности ВСНГК 20.11.12.xlsx]Эффект. ВСНГК'!$B$156:$E$156</c:f>
              <c:strCache>
                <c:ptCount val="4"/>
                <c:pt idx="0">
                  <c:v>2011-2015</c:v>
                </c:pt>
                <c:pt idx="1">
                  <c:v>2016-2020</c:v>
                </c:pt>
                <c:pt idx="2">
                  <c:v>2021-2025</c:v>
                </c:pt>
                <c:pt idx="3">
                  <c:v>2026-2030</c:v>
                </c:pt>
              </c:strCache>
            </c:strRef>
          </c:cat>
          <c:val>
            <c:numRef>
              <c:f>'D:\users\Статья сеть 2013\[Расчет эффективности ВСНГК 20.11.12.xlsx]Эффект. ВСНГК'!$B$161:$E$161</c:f>
              <c:numCache>
                <c:formatCode>General</c:formatCode>
                <c:ptCount val="4"/>
                <c:pt idx="0">
                  <c:v>-472</c:v>
                </c:pt>
                <c:pt idx="1">
                  <c:v>-7211</c:v>
                </c:pt>
                <c:pt idx="2">
                  <c:v>3519</c:v>
                </c:pt>
                <c:pt idx="3">
                  <c:v>4143.6000000000004</c:v>
                </c:pt>
              </c:numCache>
            </c:numRef>
          </c:val>
        </c:ser>
        <c:dLbls>
          <c:showLegendKey val="0"/>
          <c:showVal val="0"/>
          <c:showCatName val="0"/>
          <c:showSerName val="0"/>
          <c:showPercent val="0"/>
          <c:showBubbleSize val="0"/>
        </c:dLbls>
        <c:gapWidth val="150"/>
        <c:axId val="179579520"/>
        <c:axId val="179597696"/>
      </c:barChart>
      <c:catAx>
        <c:axId val="179579520"/>
        <c:scaling>
          <c:orientation val="minMax"/>
        </c:scaling>
        <c:delete val="0"/>
        <c:axPos val="b"/>
        <c:numFmt formatCode="General" sourceLinked="1"/>
        <c:majorTickMark val="out"/>
        <c:minorTickMark val="none"/>
        <c:tickLblPos val="nextTo"/>
        <c:crossAx val="179597696"/>
        <c:crosses val="autoZero"/>
        <c:auto val="1"/>
        <c:lblAlgn val="ctr"/>
        <c:lblOffset val="100"/>
        <c:noMultiLvlLbl val="0"/>
      </c:catAx>
      <c:valAx>
        <c:axId val="179597696"/>
        <c:scaling>
          <c:orientation val="minMax"/>
        </c:scaling>
        <c:delete val="0"/>
        <c:axPos val="l"/>
        <c:majorGridlines/>
        <c:numFmt formatCode="General" sourceLinked="1"/>
        <c:majorTickMark val="out"/>
        <c:minorTickMark val="none"/>
        <c:tickLblPos val="nextTo"/>
        <c:crossAx val="179579520"/>
        <c:crosses val="autoZero"/>
        <c:crossBetween val="between"/>
      </c:valAx>
    </c:plotArea>
    <c:legend>
      <c:legendPos val="r"/>
      <c:layout>
        <c:manualLayout>
          <c:xMode val="edge"/>
          <c:yMode val="edge"/>
          <c:x val="0.70805369127516782"/>
          <c:y val="0.44493439923595735"/>
          <c:w val="0.27684563758389263"/>
          <c:h val="0.2643174648926479"/>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4">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1EF87-D2BE-430E-8648-D25205F56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4</Pages>
  <Words>2506</Words>
  <Characters>14289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9</cp:revision>
  <cp:lastPrinted>2013-12-02T10:19:00Z</cp:lastPrinted>
  <dcterms:created xsi:type="dcterms:W3CDTF">2013-12-02T04:17:00Z</dcterms:created>
  <dcterms:modified xsi:type="dcterms:W3CDTF">2013-12-02T11:16:00Z</dcterms:modified>
</cp:coreProperties>
</file>